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94EB4085">
      <w:pPr>
        <w:pStyle w:val="style1"/>
        <w:bidi/>
        <w:rPr/>
      </w:pPr>
      <w:r>
        <w:rPr>
          <w:rtl/>
        </w:rPr>
        <w:t xml:space="preserve">خطة </w:t>
      </w:r>
      <w:r>
        <w:rPr>
          <w:rFonts w:hint="cs"/>
          <w:rtl/>
          <w:lang w:bidi="ar-DZ"/>
        </w:rPr>
        <w:t xml:space="preserve">النشاط الحر مجال العمل التطوعي </w:t>
      </w:r>
    </w:p>
    <w:p w14:paraId="ED866D83">
      <w:pPr>
        <w:pStyle w:val="style4098"/>
        <w:pBdr>
          <w:left w:val="nil"/>
          <w:right w:val="nil"/>
          <w:top w:val="nil"/>
          <w:bottom w:val="nil"/>
          <w:between w:val="nil"/>
        </w:pBdr>
        <w:bidi/>
        <w:rPr>
          <w:b/>
          <w:bCs/>
        </w:rPr>
      </w:pPr>
      <w:r>
        <w:rPr>
          <w:b/>
          <w:bCs/>
          <w:rtl/>
        </w:rPr>
        <w:t>المملكة الأردنية الهاشمية</w:t>
      </w:r>
    </w:p>
    <w:p w14:paraId="24001460">
      <w:pPr>
        <w:pStyle w:val="style4098"/>
        <w:pBdr>
          <w:left w:val="nil"/>
          <w:right w:val="nil"/>
          <w:top w:val="nil"/>
          <w:bottom w:val="nil"/>
          <w:between w:val="nil"/>
        </w:pBdr>
        <w:bidi/>
        <w:rPr>
          <w:b/>
          <w:bCs/>
        </w:rPr>
      </w:pPr>
      <w:r>
        <w:rPr>
          <w:b/>
          <w:bCs/>
          <w:rtl/>
        </w:rPr>
        <w:t>وزارة التربية والتعليم / المركز الوطني لتطوير المناهج</w:t>
      </w:r>
    </w:p>
    <w:p w14:paraId="C73A2389">
      <w:pPr>
        <w:pStyle w:val="style4098"/>
        <w:pBdr>
          <w:left w:val="nil"/>
          <w:right w:val="nil"/>
          <w:top w:val="nil"/>
          <w:bottom w:val="nil"/>
          <w:between w:val="nil"/>
        </w:pBdr>
        <w:bidi/>
        <w:rPr>
          <w:b/>
          <w:bCs/>
        </w:rPr>
      </w:pPr>
      <w:r>
        <w:rPr>
          <w:b/>
          <w:bCs/>
          <w:rtl/>
        </w:rPr>
        <w:t>الخطة السنوية لآليات ومجالات العمل التطوعي والأهلية المدرسية</w:t>
      </w:r>
    </w:p>
    <w:p w14:paraId="49FF7437">
      <w:pPr>
        <w:pStyle w:val="style2"/>
        <w:bidi/>
        <w:rPr/>
      </w:pPr>
      <w:r>
        <w:rPr/>
        <w:pict>
          <v:rect id="1026" fillcolor="#a0a0a0" stroked="f" style="margin-left:0.0pt;margin-top:0.0pt;width:0.0pt;height:1.5pt;mso-wrap-distance-left:0.0pt;mso-wrap-distance-right:0.0pt;visibility:visible;" o:hr="t" o:hralign="center" o:hrstd="t">
            <v:stroke on="f"/>
            <v:fill/>
          </v:rect>
        </w:pict>
      </w:r>
      <w:r>
        <w:rPr>
          <w:rtl/>
        </w:rPr>
        <w:t>مقدمة ورؤية الخطة السنوية</w:t>
      </w:r>
    </w:p>
    <w:p w14:paraId="5E737748">
      <w:pPr>
        <w:pStyle w:val="style4098"/>
        <w:pBdr>
          <w:left w:val="nil"/>
          <w:right w:val="nil"/>
          <w:top w:val="nil"/>
          <w:bottom w:val="nil"/>
          <w:between w:val="nil"/>
        </w:pBdr>
        <w:bidi/>
        <w:spacing w:after="225"/>
        <w:rPr/>
      </w:pPr>
      <w:r>
        <w:rPr>
          <w:rtl/>
        </w:rPr>
        <w:t xml:space="preserve">تستند هذه الخطة إلى </w:t>
      </w:r>
      <w:r>
        <w:rPr>
          <w:b/>
          <w:bCs/>
          <w:rtl/>
        </w:rPr>
        <w:t>دليل الأنشطة المدرسية - مجال</w:t>
      </w:r>
      <w:r>
        <w:rPr>
          <w:b/>
          <w:bCs/>
          <w:rtl/>
        </w:rPr>
        <w:t xml:space="preserve"> العمل التطوعي</w:t>
      </w:r>
      <w:r>
        <w:t xml:space="preserve"> </w:t>
      </w:r>
      <w:r>
        <w:rPr>
          <w:rtl/>
        </w:rPr>
        <w:t>الصادر عن المركز الوطني لتطوير المناهج ووزارة التربية والتعليم. تهدف الخطة إلى غرس قيم التكافل الاجتماعي، وتنمية المسؤوليّة المجتمعيّة، وتفعيل دور الطلبة القيادي من خلال الأنشطة والفعاليات اللامنهاجية والتطوعية الموزعة على مدار العام الدراسي</w:t>
      </w:r>
      <w:r>
        <w:t>.</w:t>
      </w:r>
    </w:p>
    <w:p w14:paraId="5E142D44">
      <w:pPr>
        <w:pStyle w:val="style2"/>
        <w:bidi/>
        <w:spacing w:before="0"/>
        <w:rPr/>
      </w:pPr>
      <w:r>
        <w:rPr>
          <w:rtl/>
        </w:rPr>
        <w:t>الأهداف العامة لمحور النشاط التطوعي</w:t>
      </w:r>
    </w:p>
    <w:p w14:paraId="D57A18A5">
      <w:pPr>
        <w:pStyle w:val="style4098"/>
        <w:numPr>
          <w:ilvl w:val="0"/>
          <w:numId w:val="1"/>
        </w:numPr>
        <w:pBdr>
          <w:left w:val="nil"/>
          <w:right w:val="nil"/>
          <w:top w:val="nil"/>
          <w:bottom w:val="nil"/>
          <w:between w:val="nil"/>
        </w:pBdr>
        <w:bidi/>
        <w:rPr/>
      </w:pPr>
      <w:r>
        <w:rPr>
          <w:rtl/>
        </w:rPr>
        <w:t>تزويد الطلبة بمعرفة شاملة وكاملة حول مفهوم العمل التطوعي، وأخلاقياته وأدبياته، وأثره الإيجابي</w:t>
      </w:r>
      <w:r>
        <w:t>.</w:t>
      </w:r>
    </w:p>
    <w:p w14:paraId="CE3946E5">
      <w:pPr>
        <w:pStyle w:val="style4098"/>
        <w:numPr>
          <w:ilvl w:val="0"/>
          <w:numId w:val="1"/>
        </w:numPr>
        <w:pBdr>
          <w:left w:val="nil"/>
          <w:right w:val="nil"/>
          <w:top w:val="nil"/>
          <w:bottom w:val="nil"/>
          <w:between w:val="nil"/>
        </w:pBdr>
        <w:bidi/>
        <w:rPr/>
      </w:pPr>
      <w:r>
        <w:rPr>
          <w:rtl/>
        </w:rPr>
        <w:t>إكساب الطلبة مهارات ذات صلة بالعمل التطوعي (التفكير النقدي، حل المشكلات، التواصل، والعمل الجماعي</w:t>
      </w:r>
      <w:r>
        <w:t>).</w:t>
      </w:r>
    </w:p>
    <w:p w14:paraId="A1D105C2">
      <w:pPr>
        <w:pStyle w:val="style4098"/>
        <w:numPr>
          <w:ilvl w:val="0"/>
          <w:numId w:val="1"/>
        </w:numPr>
        <w:pBdr>
          <w:left w:val="nil"/>
          <w:right w:val="nil"/>
          <w:top w:val="nil"/>
          <w:bottom w:val="nil"/>
          <w:between w:val="nil"/>
        </w:pBdr>
        <w:bidi/>
        <w:rPr/>
      </w:pPr>
      <w:r>
        <w:rPr>
          <w:rtl/>
        </w:rPr>
        <w:t>توجيه قيم الطلبة وسلوكيا</w:t>
      </w:r>
      <w:r>
        <w:rPr>
          <w:rtl/>
        </w:rPr>
        <w:t>تهم واتجاهاتهم نحو عمل الخير والإحسان والتعاون والتعاطف والشعور بالمسؤولية</w:t>
      </w:r>
      <w:r>
        <w:t>.</w:t>
      </w:r>
    </w:p>
    <w:p w14:paraId="77F79D75">
      <w:pPr>
        <w:pStyle w:val="style4098"/>
        <w:numPr>
          <w:ilvl w:val="0"/>
          <w:numId w:val="1"/>
        </w:numPr>
        <w:pBdr>
          <w:left w:val="nil"/>
          <w:right w:val="nil"/>
          <w:top w:val="nil"/>
          <w:bottom w:val="nil"/>
          <w:between w:val="nil"/>
        </w:pBdr>
        <w:bidi/>
        <w:rPr/>
      </w:pPr>
      <w:r>
        <w:rPr>
          <w:rtl/>
        </w:rPr>
        <w:t>تجذير مفاهيم المواطنة الفاعلة والوئام والتكافل المجتمعي في بيئة المدرسة والمجتمع المحلي</w:t>
      </w:r>
      <w:r>
        <w:t>.</w:t>
      </w:r>
    </w:p>
    <w:p w14:paraId="6BF8D382">
      <w:pPr>
        <w:pStyle w:val="style2"/>
        <w:bidi/>
        <w:rPr/>
      </w:pPr>
      <w:r>
        <w:rPr>
          <w:rtl/>
        </w:rPr>
        <w:t>الكفايات العامة ونتاجات التعلم المستهدفة</w:t>
      </w:r>
    </w:p>
    <w:tbl>
      <w:tblPr>
        <w:tblStyle w:val="style4099"/>
        <w:tblW w:w="9360" w:type="dxa"/>
        <w:tblInd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120"/>
        <w:gridCol w:w="3120"/>
        <w:gridCol w:w="3120"/>
      </w:tblGrid>
      <w:tr w14:paraId="9F4F0EF0">
        <w:trPr>
          <w:cantSplit/>
          <w:tblHeader/>
        </w:trPr>
        <w:tc>
          <w:tcPr>
            <w:tcW w:w="3120" w:type="dxa"/>
            <w:tcBorders/>
            <w:shd w:val="clear" w:color="auto" w:fill="f2f2f2"/>
            <w:tcMar>
              <w:top w:w="120" w:type="dxa"/>
              <w:left w:w="120" w:type="dxa"/>
              <w:bottom w:w="120" w:type="dxa"/>
              <w:right w:w="120" w:type="dxa"/>
            </w:tcMar>
          </w:tcPr>
          <w:p w14:paraId="7D900F69">
            <w:pPr>
              <w:pStyle w:val="style4098"/>
              <w:pBdr>
                <w:left w:val="nil"/>
                <w:right w:val="nil"/>
                <w:top w:val="nil"/>
                <w:bottom w:val="nil"/>
                <w:between w:val="nil"/>
              </w:pBdr>
              <w:bidi/>
              <w:jc w:val="right"/>
              <w:rPr/>
            </w:pPr>
            <w:r>
              <w:rPr>
                <w:rtl/>
              </w:rPr>
              <w:t>مجال الكفاية</w:t>
            </w:r>
          </w:p>
        </w:tc>
        <w:tc>
          <w:tcPr>
            <w:tcW w:w="3120" w:type="dxa"/>
            <w:tcBorders/>
            <w:shd w:val="clear" w:color="auto" w:fill="f2f2f2"/>
            <w:tcMar>
              <w:top w:w="120" w:type="dxa"/>
              <w:left w:w="120" w:type="dxa"/>
              <w:bottom w:w="120" w:type="dxa"/>
              <w:right w:w="120" w:type="dxa"/>
            </w:tcMar>
          </w:tcPr>
          <w:p w14:paraId="67DDBDBD">
            <w:pPr>
              <w:pStyle w:val="style4098"/>
              <w:pBdr>
                <w:left w:val="nil"/>
                <w:right w:val="nil"/>
                <w:top w:val="nil"/>
                <w:bottom w:val="nil"/>
                <w:between w:val="nil"/>
              </w:pBdr>
              <w:bidi/>
              <w:jc w:val="right"/>
              <w:rPr/>
            </w:pPr>
            <w:r>
              <w:rPr>
                <w:rtl/>
              </w:rPr>
              <w:t xml:space="preserve">مؤشرات قياس الأداء والكفايات </w:t>
            </w:r>
            <w:r>
              <w:rPr>
                <w:rtl/>
              </w:rPr>
              <w:t>المستهدفة</w:t>
            </w:r>
          </w:p>
        </w:tc>
        <w:tc>
          <w:tcPr>
            <w:tcW w:w="3120" w:type="dxa"/>
            <w:tcBorders/>
            <w:shd w:val="clear" w:color="auto" w:fill="f2f2f2"/>
            <w:tcMar>
              <w:top w:w="120" w:type="dxa"/>
              <w:left w:w="120" w:type="dxa"/>
              <w:bottom w:w="120" w:type="dxa"/>
              <w:right w:w="120" w:type="dxa"/>
            </w:tcMar>
          </w:tcPr>
          <w:p w14:paraId="40D3BDA8">
            <w:pPr>
              <w:pStyle w:val="style4098"/>
              <w:pBdr>
                <w:left w:val="nil"/>
                <w:right w:val="nil"/>
                <w:top w:val="nil"/>
                <w:bottom w:val="nil"/>
                <w:between w:val="nil"/>
              </w:pBdr>
              <w:bidi/>
              <w:jc w:val="right"/>
              <w:rPr/>
            </w:pPr>
            <w:r>
              <w:rPr>
                <w:rtl/>
              </w:rPr>
              <w:t>نتاجات التعلم المتوقعة</w:t>
            </w:r>
          </w:p>
          <w:p w14:paraId="ACF14B86">
            <w:pPr>
              <w:pStyle w:val="style4098"/>
              <w:pBdr>
                <w:left w:val="nil"/>
                <w:right w:val="nil"/>
                <w:top w:val="nil"/>
                <w:bottom w:val="nil"/>
                <w:between w:val="nil"/>
              </w:pBdr>
              <w:bidi/>
              <w:rPr/>
            </w:pPr>
            <w:r>
              <w:t xml:space="preserve"> </w:t>
            </w:r>
          </w:p>
        </w:tc>
      </w:tr>
      <w:tr w14:paraId="AC4C78EC">
        <w:tblPrEx/>
        <w:trPr>
          <w:cantSplit/>
          <w:tblHeader/>
        </w:trPr>
        <w:tc>
          <w:tcPr>
            <w:tcW w:w="3120" w:type="dxa"/>
            <w:tcBorders/>
            <w:shd w:val="clear" w:color="auto" w:fill="auto"/>
            <w:tcMar>
              <w:top w:w="120" w:type="dxa"/>
              <w:left w:w="120" w:type="dxa"/>
              <w:bottom w:w="120" w:type="dxa"/>
              <w:right w:w="120" w:type="dxa"/>
            </w:tcMar>
          </w:tcPr>
          <w:p w14:paraId="2CF62F64">
            <w:pPr>
              <w:pStyle w:val="style4098"/>
              <w:pBdr>
                <w:left w:val="nil"/>
                <w:right w:val="nil"/>
                <w:top w:val="nil"/>
                <w:bottom w:val="nil"/>
                <w:between w:val="nil"/>
              </w:pBdr>
              <w:bidi/>
              <w:rPr>
                <w:b/>
                <w:bCs/>
              </w:rPr>
            </w:pPr>
            <w:r>
              <w:rPr>
                <w:b/>
                <w:bCs/>
                <w:rtl/>
              </w:rPr>
              <w:t>الكفايات المعرفية</w:t>
            </w:r>
          </w:p>
        </w:tc>
        <w:tc>
          <w:tcPr>
            <w:tcW w:w="3120" w:type="dxa"/>
            <w:tcBorders/>
            <w:shd w:val="clear" w:color="auto" w:fill="auto"/>
            <w:tcMar>
              <w:top w:w="120" w:type="dxa"/>
              <w:left w:w="120" w:type="dxa"/>
              <w:bottom w:w="120" w:type="dxa"/>
              <w:right w:w="120" w:type="dxa"/>
            </w:tcMar>
          </w:tcPr>
          <w:p w14:paraId="FD261BAE">
            <w:pPr>
              <w:pStyle w:val="style4098"/>
              <w:pBdr>
                <w:left w:val="nil"/>
                <w:right w:val="nil"/>
                <w:top w:val="nil"/>
                <w:bottom w:val="nil"/>
                <w:between w:val="nil"/>
              </w:pBdr>
              <w:bidi/>
              <w:rPr/>
            </w:pPr>
            <w:r>
              <w:rPr>
                <w:rtl/>
              </w:rPr>
              <w:t>إظهار معرفة واضحة ومعمقة لمفهوم العمل التطوعي وأخلاقياته وتقاطعه مع المسؤولية المجتمعية</w:t>
            </w:r>
            <w:r>
              <w:t>.</w:t>
            </w:r>
          </w:p>
        </w:tc>
        <w:tc>
          <w:tcPr>
            <w:tcW w:w="3120" w:type="dxa"/>
            <w:tcBorders/>
            <w:shd w:val="clear" w:color="auto" w:fill="auto"/>
            <w:tcMar>
              <w:top w:w="120" w:type="dxa"/>
              <w:left w:w="120" w:type="dxa"/>
              <w:bottom w:w="120" w:type="dxa"/>
              <w:right w:w="120" w:type="dxa"/>
            </w:tcMar>
          </w:tcPr>
          <w:p w14:paraId="7E9D50E3">
            <w:pPr>
              <w:pStyle w:val="style4098"/>
              <w:pBdr>
                <w:left w:val="nil"/>
                <w:right w:val="nil"/>
                <w:top w:val="nil"/>
                <w:bottom w:val="nil"/>
                <w:between w:val="nil"/>
              </w:pBdr>
              <w:bidi/>
              <w:rPr/>
            </w:pPr>
            <w:r>
              <w:rPr>
                <w:rtl/>
              </w:rPr>
              <w:t>يتعرف الطالب مفاهيم التطوع والتكافل والوئام وتطبيقها عمليا</w:t>
            </w:r>
            <w:r>
              <w:rPr>
                <w:rtl/>
              </w:rPr>
              <w:t>ً</w:t>
            </w:r>
            <w:r>
              <w:t>.</w:t>
            </w:r>
          </w:p>
        </w:tc>
      </w:tr>
      <w:tr w14:paraId="ECC0038D">
        <w:tblPrEx/>
        <w:trPr>
          <w:cantSplit/>
          <w:tblHeader/>
        </w:trPr>
        <w:tc>
          <w:tcPr>
            <w:tcW w:w="3120" w:type="dxa"/>
            <w:tcBorders/>
            <w:shd w:val="clear" w:color="auto" w:fill="auto"/>
            <w:tcMar>
              <w:top w:w="120" w:type="dxa"/>
              <w:left w:w="120" w:type="dxa"/>
              <w:bottom w:w="120" w:type="dxa"/>
              <w:right w:w="120" w:type="dxa"/>
            </w:tcMar>
          </w:tcPr>
          <w:p w14:paraId="D01C221E">
            <w:pPr>
              <w:pStyle w:val="style4098"/>
              <w:pBdr>
                <w:left w:val="nil"/>
                <w:right w:val="nil"/>
                <w:top w:val="nil"/>
                <w:bottom w:val="nil"/>
                <w:between w:val="nil"/>
              </w:pBdr>
              <w:bidi/>
              <w:rPr>
                <w:b/>
                <w:bCs/>
              </w:rPr>
            </w:pPr>
            <w:r>
              <w:rPr>
                <w:b/>
                <w:bCs/>
                <w:rtl/>
              </w:rPr>
              <w:t>الكفايات اللغوية والتواصلية</w:t>
            </w:r>
          </w:p>
        </w:tc>
        <w:tc>
          <w:tcPr>
            <w:tcW w:w="3120" w:type="dxa"/>
            <w:tcBorders/>
            <w:shd w:val="clear" w:color="auto" w:fill="auto"/>
            <w:tcMar>
              <w:top w:w="120" w:type="dxa"/>
              <w:left w:w="120" w:type="dxa"/>
              <w:bottom w:w="120" w:type="dxa"/>
              <w:right w:w="120" w:type="dxa"/>
            </w:tcMar>
          </w:tcPr>
          <w:p w14:paraId="DF1EEEC2">
            <w:pPr>
              <w:pStyle w:val="style4098"/>
              <w:pBdr>
                <w:left w:val="nil"/>
                <w:right w:val="nil"/>
                <w:top w:val="nil"/>
                <w:bottom w:val="nil"/>
                <w:between w:val="nil"/>
              </w:pBdr>
              <w:bidi/>
              <w:rPr/>
            </w:pPr>
            <w:r>
              <w:rPr>
                <w:rtl/>
              </w:rPr>
              <w:t>استخدام مهارات الاستماع</w:t>
            </w:r>
            <w:r>
              <w:rPr>
                <w:rtl/>
              </w:rPr>
              <w:t xml:space="preserve"> والتحدث والكتابة، وإجراء الحوار والمناظرات والنقاشات المعمقة حول قضايا الشأن العام</w:t>
            </w:r>
            <w:r>
              <w:t>.</w:t>
            </w:r>
          </w:p>
        </w:tc>
        <w:tc>
          <w:tcPr>
            <w:tcW w:w="3120" w:type="dxa"/>
            <w:tcBorders/>
            <w:shd w:val="clear" w:color="auto" w:fill="auto"/>
            <w:tcMar>
              <w:top w:w="120" w:type="dxa"/>
              <w:left w:w="120" w:type="dxa"/>
              <w:bottom w:w="120" w:type="dxa"/>
              <w:right w:w="120" w:type="dxa"/>
            </w:tcMar>
          </w:tcPr>
          <w:p w14:paraId="41E64843">
            <w:pPr>
              <w:pStyle w:val="style4098"/>
              <w:pBdr>
                <w:left w:val="nil"/>
                <w:right w:val="nil"/>
                <w:top w:val="nil"/>
                <w:bottom w:val="nil"/>
                <w:between w:val="nil"/>
              </w:pBdr>
              <w:bidi/>
              <w:rPr/>
            </w:pPr>
            <w:r>
              <w:rPr>
                <w:rtl/>
              </w:rPr>
              <w:t>يوظف الطالب المهارات التواصلية للتعبير عن قيم الخير والمواطنة الفاعلة</w:t>
            </w:r>
            <w:r>
              <w:t>.</w:t>
            </w:r>
          </w:p>
        </w:tc>
      </w:tr>
      <w:tr w14:paraId="A5EDE766">
        <w:tblPrEx/>
        <w:trPr>
          <w:cantSplit/>
          <w:tblHeader/>
        </w:trPr>
        <w:tc>
          <w:tcPr>
            <w:tcW w:w="3120" w:type="dxa"/>
            <w:tcBorders/>
            <w:shd w:val="clear" w:color="auto" w:fill="auto"/>
            <w:tcMar>
              <w:top w:w="120" w:type="dxa"/>
              <w:left w:w="120" w:type="dxa"/>
              <w:bottom w:w="120" w:type="dxa"/>
              <w:right w:w="120" w:type="dxa"/>
            </w:tcMar>
          </w:tcPr>
          <w:p w14:paraId="A157D0A6">
            <w:pPr>
              <w:pStyle w:val="style4098"/>
              <w:pBdr>
                <w:left w:val="nil"/>
                <w:right w:val="nil"/>
                <w:top w:val="nil"/>
                <w:bottom w:val="nil"/>
                <w:between w:val="nil"/>
              </w:pBdr>
              <w:bidi/>
              <w:rPr>
                <w:b/>
                <w:bCs/>
              </w:rPr>
            </w:pPr>
            <w:r>
              <w:rPr>
                <w:b/>
                <w:bCs/>
                <w:rtl/>
              </w:rPr>
              <w:t>كفايات البحث وحل المشكلات</w:t>
            </w:r>
          </w:p>
        </w:tc>
        <w:tc>
          <w:tcPr>
            <w:tcW w:w="3120" w:type="dxa"/>
            <w:tcBorders/>
            <w:shd w:val="clear" w:color="auto" w:fill="auto"/>
            <w:tcMar>
              <w:top w:w="120" w:type="dxa"/>
              <w:left w:w="120" w:type="dxa"/>
              <w:bottom w:w="120" w:type="dxa"/>
              <w:right w:w="120" w:type="dxa"/>
            </w:tcMar>
          </w:tcPr>
          <w:p w14:paraId="E3F0DBB4">
            <w:pPr>
              <w:pStyle w:val="style4098"/>
              <w:pBdr>
                <w:left w:val="nil"/>
                <w:right w:val="nil"/>
                <w:top w:val="nil"/>
                <w:bottom w:val="nil"/>
                <w:between w:val="nil"/>
              </w:pBdr>
              <w:bidi/>
              <w:rPr/>
            </w:pPr>
            <w:r>
              <w:rPr>
                <w:rtl/>
              </w:rPr>
              <w:t>إبراز القدرة على تقصي التحديات في المجتمع المدرسي والسياسي والبيئي وطرح ح</w:t>
            </w:r>
            <w:r>
              <w:rPr>
                <w:rtl/>
              </w:rPr>
              <w:t>لول مبتكرة واستباقية</w:t>
            </w:r>
            <w:r>
              <w:t>.</w:t>
            </w:r>
          </w:p>
        </w:tc>
        <w:tc>
          <w:tcPr>
            <w:tcW w:w="3120" w:type="dxa"/>
            <w:tcBorders/>
            <w:shd w:val="clear" w:color="auto" w:fill="auto"/>
            <w:tcMar>
              <w:top w:w="120" w:type="dxa"/>
              <w:left w:w="120" w:type="dxa"/>
              <w:bottom w:w="120" w:type="dxa"/>
              <w:right w:w="120" w:type="dxa"/>
            </w:tcMar>
          </w:tcPr>
          <w:p w14:paraId="99463D81">
            <w:pPr>
              <w:pStyle w:val="style4098"/>
              <w:pBdr>
                <w:left w:val="nil"/>
                <w:right w:val="nil"/>
                <w:top w:val="nil"/>
                <w:bottom w:val="nil"/>
                <w:between w:val="nil"/>
              </w:pBdr>
              <w:bidi/>
              <w:rPr/>
            </w:pPr>
            <w:r>
              <w:rPr>
                <w:rtl/>
              </w:rPr>
              <w:t>يطوّر الطالب مهارات التقصي وتقديم حلول من خلال خطط عمل تطوعية كفؤة</w:t>
            </w:r>
            <w:r>
              <w:t>.</w:t>
            </w:r>
          </w:p>
        </w:tc>
      </w:tr>
      <w:tr w14:paraId="93DA5DB2">
        <w:tblPrEx/>
        <w:trPr>
          <w:cantSplit/>
          <w:tblHeader/>
        </w:trPr>
        <w:tc>
          <w:tcPr>
            <w:tcW w:w="3120" w:type="dxa"/>
            <w:tcBorders/>
            <w:shd w:val="clear" w:color="auto" w:fill="auto"/>
            <w:tcMar>
              <w:top w:w="120" w:type="dxa"/>
              <w:left w:w="120" w:type="dxa"/>
              <w:bottom w:w="120" w:type="dxa"/>
              <w:right w:w="120" w:type="dxa"/>
            </w:tcMar>
          </w:tcPr>
          <w:p w14:paraId="7C572625">
            <w:pPr>
              <w:pStyle w:val="style4098"/>
              <w:pBdr>
                <w:left w:val="nil"/>
                <w:right w:val="nil"/>
                <w:top w:val="nil"/>
                <w:bottom w:val="nil"/>
                <w:between w:val="nil"/>
              </w:pBdr>
              <w:bidi/>
              <w:rPr>
                <w:b/>
                <w:bCs/>
              </w:rPr>
            </w:pPr>
            <w:r>
              <w:rPr>
                <w:b/>
                <w:bCs/>
                <w:rtl/>
              </w:rPr>
              <w:t>الكفايات الانفعالية والاجتماعية</w:t>
            </w:r>
          </w:p>
        </w:tc>
        <w:tc>
          <w:tcPr>
            <w:tcW w:w="3120" w:type="dxa"/>
            <w:tcBorders/>
            <w:shd w:val="clear" w:color="auto" w:fill="auto"/>
            <w:tcMar>
              <w:top w:w="120" w:type="dxa"/>
              <w:left w:w="120" w:type="dxa"/>
              <w:bottom w:w="120" w:type="dxa"/>
              <w:right w:w="120" w:type="dxa"/>
            </w:tcMar>
          </w:tcPr>
          <w:p w14:paraId="3D876994">
            <w:pPr>
              <w:pStyle w:val="style4098"/>
              <w:pBdr>
                <w:left w:val="nil"/>
                <w:right w:val="nil"/>
                <w:top w:val="nil"/>
                <w:bottom w:val="nil"/>
                <w:between w:val="nil"/>
              </w:pBdr>
              <w:bidi/>
              <w:rPr/>
            </w:pPr>
            <w:r>
              <w:rPr>
                <w:rtl/>
              </w:rPr>
              <w:t>التطوع بالوقت والجهد، بناء علاقات إيجابية، القيادة، والتعاطف مع الآخرين وتقدير التنوع</w:t>
            </w:r>
            <w:r>
              <w:t>.</w:t>
            </w:r>
          </w:p>
        </w:tc>
        <w:tc>
          <w:tcPr>
            <w:tcW w:w="3120" w:type="dxa"/>
            <w:tcBorders/>
            <w:shd w:val="clear" w:color="auto" w:fill="auto"/>
            <w:tcMar>
              <w:top w:w="120" w:type="dxa"/>
              <w:left w:w="120" w:type="dxa"/>
              <w:bottom w:w="120" w:type="dxa"/>
              <w:right w:w="120" w:type="dxa"/>
            </w:tcMar>
          </w:tcPr>
          <w:p w14:paraId="7E09C602">
            <w:pPr>
              <w:pStyle w:val="style4098"/>
              <w:pBdr>
                <w:left w:val="nil"/>
                <w:right w:val="nil"/>
                <w:top w:val="nil"/>
                <w:bottom w:val="nil"/>
                <w:between w:val="nil"/>
              </w:pBdr>
              <w:bidi/>
              <w:rPr/>
            </w:pPr>
            <w:r>
              <w:rPr>
                <w:rtl/>
              </w:rPr>
              <w:t xml:space="preserve">يتبنى الطالب منظومة قيمية ذات نزعة تكافلية </w:t>
            </w:r>
            <w:r>
              <w:rPr>
                <w:rtl/>
              </w:rPr>
              <w:t>ومسؤولية مجتمعية عالية</w:t>
            </w:r>
            <w:r>
              <w:t>.</w:t>
            </w:r>
          </w:p>
        </w:tc>
      </w:tr>
      <w:tr w14:paraId="4FA0B3C6">
        <w:tblPrEx/>
        <w:trPr>
          <w:cantSplit/>
          <w:tblHeader/>
        </w:trPr>
        <w:tc>
          <w:tcPr>
            <w:tcW w:w="3120" w:type="dxa"/>
            <w:tcBorders/>
            <w:shd w:val="clear" w:color="auto" w:fill="auto"/>
            <w:tcMar>
              <w:top w:w="120" w:type="dxa"/>
              <w:left w:w="120" w:type="dxa"/>
              <w:bottom w:w="120" w:type="dxa"/>
              <w:right w:w="120" w:type="dxa"/>
            </w:tcMar>
          </w:tcPr>
          <w:p w14:paraId="4D02EB9F">
            <w:pPr>
              <w:pStyle w:val="style4098"/>
              <w:pBdr>
                <w:left w:val="nil"/>
                <w:right w:val="nil"/>
                <w:top w:val="nil"/>
                <w:bottom w:val="nil"/>
                <w:between w:val="nil"/>
              </w:pBdr>
              <w:bidi/>
              <w:rPr>
                <w:b/>
                <w:bCs/>
              </w:rPr>
            </w:pPr>
            <w:r>
              <w:rPr>
                <w:b/>
                <w:bCs/>
                <w:rtl/>
              </w:rPr>
              <w:t>الكفايات الإبداعية والتقنية</w:t>
            </w:r>
          </w:p>
        </w:tc>
        <w:tc>
          <w:tcPr>
            <w:tcW w:w="3120" w:type="dxa"/>
            <w:tcBorders/>
            <w:shd w:val="clear" w:color="auto" w:fill="auto"/>
            <w:tcMar>
              <w:top w:w="120" w:type="dxa"/>
              <w:left w:w="120" w:type="dxa"/>
              <w:bottom w:w="120" w:type="dxa"/>
              <w:right w:w="120" w:type="dxa"/>
            </w:tcMar>
          </w:tcPr>
          <w:p w14:paraId="4370FE3A">
            <w:pPr>
              <w:pStyle w:val="style4098"/>
              <w:pBdr>
                <w:left w:val="nil"/>
                <w:right w:val="nil"/>
                <w:top w:val="nil"/>
                <w:bottom w:val="nil"/>
                <w:between w:val="nil"/>
              </w:pBdr>
              <w:bidi/>
              <w:rPr/>
            </w:pPr>
            <w:r>
              <w:rPr>
                <w:rtl/>
              </w:rPr>
              <w:t>التفكير خارج الصندوق، ابتكار أشكال عصرية للتطوع، وإنتاج محتوى رقمي ومعارض وتصاميم إعلامية</w:t>
            </w:r>
            <w:r>
              <w:t>.</w:t>
            </w:r>
          </w:p>
        </w:tc>
        <w:tc>
          <w:tcPr>
            <w:tcW w:w="3120" w:type="dxa"/>
            <w:tcBorders/>
            <w:shd w:val="clear" w:color="auto" w:fill="auto"/>
            <w:tcMar>
              <w:top w:w="120" w:type="dxa"/>
              <w:left w:w="120" w:type="dxa"/>
              <w:bottom w:w="120" w:type="dxa"/>
              <w:right w:w="120" w:type="dxa"/>
            </w:tcMar>
          </w:tcPr>
          <w:p w14:paraId="EC897800">
            <w:pPr>
              <w:pStyle w:val="style4098"/>
              <w:pBdr>
                <w:left w:val="nil"/>
                <w:right w:val="nil"/>
                <w:top w:val="nil"/>
                <w:bottom w:val="nil"/>
                <w:between w:val="nil"/>
              </w:pBdr>
              <w:bidi/>
              <w:rPr/>
            </w:pPr>
            <w:r>
              <w:rPr>
                <w:rtl/>
              </w:rPr>
              <w:t>يبتكر الطالب أساليب واستراتيجيات جديدة لممارسة وتوثيق العمل التطوعي</w:t>
            </w:r>
            <w:r>
              <w:t>.</w:t>
            </w:r>
          </w:p>
        </w:tc>
      </w:tr>
    </w:tbl>
    <w:p w14:paraId="05D4636E">
      <w:pPr>
        <w:pStyle w:val="style4098"/>
        <w:pBdr>
          <w:left w:val="nil"/>
          <w:right w:val="nil"/>
          <w:top w:val="nil"/>
          <w:bottom w:val="nil"/>
          <w:between w:val="nil"/>
        </w:pBdr>
        <w:bidi/>
        <w:spacing w:after="225"/>
        <w:rPr/>
      </w:pPr>
    </w:p>
    <w:p w14:paraId="F67117D4">
      <w:pPr>
        <w:pStyle w:val="style2"/>
        <w:bidi/>
        <w:rPr/>
      </w:pPr>
      <w:r>
        <w:rPr>
          <w:rtl/>
        </w:rPr>
        <w:t xml:space="preserve">البرنامج الزمني للأنشطة والفعاليات </w:t>
      </w:r>
      <w:r>
        <w:rPr>
          <w:rtl/>
        </w:rPr>
        <w:t>التطوعية المدرسية</w:t>
      </w:r>
    </w:p>
    <w:tbl>
      <w:tblPr>
        <w:tblStyle w:val="style4100"/>
        <w:tblW w:w="9360" w:type="dxa"/>
        <w:tblInd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72"/>
        <w:gridCol w:w="1872"/>
        <w:gridCol w:w="1872"/>
        <w:gridCol w:w="1872"/>
        <w:gridCol w:w="1872"/>
      </w:tblGrid>
      <w:tr w14:paraId="19FE4BD9">
        <w:trPr>
          <w:cantSplit/>
          <w:tblHeader/>
        </w:trPr>
        <w:tc>
          <w:tcPr>
            <w:tcW w:w="1872" w:type="dxa"/>
            <w:tcBorders/>
            <w:shd w:val="clear" w:color="auto" w:fill="f2f2f2"/>
            <w:tcMar>
              <w:top w:w="120" w:type="dxa"/>
              <w:left w:w="120" w:type="dxa"/>
              <w:bottom w:w="120" w:type="dxa"/>
              <w:right w:w="120" w:type="dxa"/>
            </w:tcMar>
          </w:tcPr>
          <w:p w14:paraId="8849A863">
            <w:pPr>
              <w:pStyle w:val="style4098"/>
              <w:pBdr>
                <w:left w:val="nil"/>
                <w:right w:val="nil"/>
                <w:top w:val="nil"/>
                <w:bottom w:val="nil"/>
                <w:between w:val="nil"/>
              </w:pBdr>
              <w:bidi/>
              <w:jc w:val="right"/>
              <w:rPr/>
            </w:pPr>
            <w:r>
              <w:rPr>
                <w:rtl/>
              </w:rPr>
              <w:t>الشهر / الفصل</w:t>
            </w:r>
          </w:p>
        </w:tc>
        <w:tc>
          <w:tcPr>
            <w:tcW w:w="1872" w:type="dxa"/>
            <w:tcBorders/>
            <w:shd w:val="clear" w:color="auto" w:fill="f2f2f2"/>
            <w:tcMar>
              <w:top w:w="120" w:type="dxa"/>
              <w:left w:w="120" w:type="dxa"/>
              <w:bottom w:w="120" w:type="dxa"/>
              <w:right w:w="120" w:type="dxa"/>
            </w:tcMar>
          </w:tcPr>
          <w:p w14:paraId="8A196D73">
            <w:pPr>
              <w:pStyle w:val="style4098"/>
              <w:pBdr>
                <w:left w:val="nil"/>
                <w:right w:val="nil"/>
                <w:top w:val="nil"/>
                <w:bottom w:val="nil"/>
                <w:between w:val="nil"/>
              </w:pBdr>
              <w:bidi/>
              <w:jc w:val="right"/>
              <w:rPr/>
            </w:pPr>
            <w:r>
              <w:rPr>
                <w:rtl/>
              </w:rPr>
              <w:t>اسم النشاط / الفعالية</w:t>
            </w:r>
          </w:p>
        </w:tc>
        <w:tc>
          <w:tcPr>
            <w:tcW w:w="1872" w:type="dxa"/>
            <w:tcBorders/>
            <w:shd w:val="clear" w:color="auto" w:fill="f2f2f2"/>
            <w:tcMar>
              <w:top w:w="120" w:type="dxa"/>
              <w:left w:w="120" w:type="dxa"/>
              <w:bottom w:w="120" w:type="dxa"/>
              <w:right w:w="120" w:type="dxa"/>
            </w:tcMar>
          </w:tcPr>
          <w:p w14:paraId="01175342">
            <w:pPr>
              <w:pStyle w:val="style4098"/>
              <w:pBdr>
                <w:left w:val="nil"/>
                <w:right w:val="nil"/>
                <w:top w:val="nil"/>
                <w:bottom w:val="nil"/>
                <w:between w:val="nil"/>
              </w:pBdr>
              <w:bidi/>
              <w:jc w:val="right"/>
              <w:rPr/>
            </w:pPr>
            <w:r>
              <w:rPr>
                <w:rtl/>
              </w:rPr>
              <w:t>وصف النشاط وآلية التنفيذ</w:t>
            </w:r>
          </w:p>
        </w:tc>
        <w:tc>
          <w:tcPr>
            <w:tcW w:w="1872" w:type="dxa"/>
            <w:tcBorders/>
            <w:shd w:val="clear" w:color="auto" w:fill="f2f2f2"/>
            <w:tcMar>
              <w:top w:w="120" w:type="dxa"/>
              <w:left w:w="120" w:type="dxa"/>
              <w:bottom w:w="120" w:type="dxa"/>
              <w:right w:w="120" w:type="dxa"/>
            </w:tcMar>
          </w:tcPr>
          <w:p w14:paraId="9B7FF476">
            <w:pPr>
              <w:pStyle w:val="style4098"/>
              <w:pBdr>
                <w:left w:val="nil"/>
                <w:right w:val="nil"/>
                <w:top w:val="nil"/>
                <w:bottom w:val="nil"/>
                <w:between w:val="nil"/>
              </w:pBdr>
              <w:bidi/>
              <w:jc w:val="right"/>
              <w:rPr/>
            </w:pPr>
            <w:r>
              <w:rPr>
                <w:rtl/>
              </w:rPr>
              <w:t>استراتيجية التقويم وأدواته</w:t>
            </w:r>
          </w:p>
        </w:tc>
        <w:tc>
          <w:tcPr>
            <w:tcW w:w="1872" w:type="dxa"/>
            <w:tcBorders/>
            <w:shd w:val="clear" w:color="auto" w:fill="f2f2f2"/>
            <w:tcMar>
              <w:top w:w="120" w:type="dxa"/>
              <w:left w:w="120" w:type="dxa"/>
              <w:bottom w:w="120" w:type="dxa"/>
              <w:right w:w="120" w:type="dxa"/>
            </w:tcMar>
          </w:tcPr>
          <w:p w14:paraId="E727DAA5">
            <w:pPr>
              <w:pStyle w:val="style4098"/>
              <w:pBdr>
                <w:left w:val="nil"/>
                <w:right w:val="nil"/>
                <w:top w:val="nil"/>
                <w:bottom w:val="nil"/>
                <w:between w:val="nil"/>
              </w:pBdr>
              <w:bidi/>
              <w:jc w:val="right"/>
              <w:rPr/>
            </w:pPr>
            <w:r>
              <w:rPr>
                <w:rtl/>
              </w:rPr>
              <w:t>مراعاة ذوي الإعاقة والمتطلبات</w:t>
            </w:r>
          </w:p>
          <w:p w14:paraId="488CB381">
            <w:pPr>
              <w:pStyle w:val="style4098"/>
              <w:pBdr>
                <w:left w:val="nil"/>
                <w:right w:val="nil"/>
                <w:top w:val="nil"/>
                <w:bottom w:val="nil"/>
                <w:between w:val="nil"/>
              </w:pBdr>
              <w:bidi/>
              <w:rPr/>
            </w:pPr>
            <w:r>
              <w:t xml:space="preserve"> </w:t>
            </w:r>
          </w:p>
        </w:tc>
      </w:tr>
      <w:tr w14:paraId="3561407E">
        <w:tblPrEx/>
        <w:trPr>
          <w:cantSplit/>
          <w:tblHeader/>
        </w:trPr>
        <w:tc>
          <w:tcPr>
            <w:tcW w:w="1872" w:type="dxa"/>
            <w:tcBorders/>
            <w:shd w:val="clear" w:color="auto" w:fill="auto"/>
            <w:tcMar>
              <w:top w:w="120" w:type="dxa"/>
              <w:left w:w="120" w:type="dxa"/>
              <w:bottom w:w="120" w:type="dxa"/>
              <w:right w:w="120" w:type="dxa"/>
            </w:tcMar>
          </w:tcPr>
          <w:p w14:paraId="A6F77717">
            <w:pPr>
              <w:pStyle w:val="style4098"/>
              <w:pBdr>
                <w:left w:val="nil"/>
                <w:right w:val="nil"/>
                <w:top w:val="nil"/>
                <w:bottom w:val="nil"/>
                <w:between w:val="nil"/>
              </w:pBdr>
              <w:bidi/>
              <w:rPr>
                <w:b/>
                <w:bCs/>
              </w:rPr>
            </w:pPr>
            <w:r>
              <w:rPr>
                <w:b/>
                <w:bCs/>
                <w:rtl/>
              </w:rPr>
              <w:t>أيلول (سبتمبر</w:t>
            </w:r>
            <w:r>
              <w:rPr>
                <w:b/>
                <w:bCs/>
              </w:rPr>
              <w:t>)</w:t>
            </w:r>
          </w:p>
        </w:tc>
        <w:tc>
          <w:tcPr>
            <w:tcW w:w="1872" w:type="dxa"/>
            <w:tcBorders/>
            <w:shd w:val="clear" w:color="auto" w:fill="auto"/>
            <w:tcMar>
              <w:top w:w="120" w:type="dxa"/>
              <w:left w:w="120" w:type="dxa"/>
              <w:bottom w:w="120" w:type="dxa"/>
              <w:right w:w="120" w:type="dxa"/>
            </w:tcMar>
          </w:tcPr>
          <w:p w14:paraId="52402A04">
            <w:pPr>
              <w:pStyle w:val="style4098"/>
              <w:pBdr>
                <w:left w:val="nil"/>
                <w:right w:val="nil"/>
                <w:top w:val="nil"/>
                <w:bottom w:val="nil"/>
                <w:between w:val="nil"/>
              </w:pBdr>
              <w:bidi/>
              <w:rPr/>
            </w:pPr>
            <w:r>
              <w:rPr>
                <w:rtl/>
              </w:rPr>
              <w:t>أسبوع التعارف والتوعية بمفهوم التطوع</w:t>
            </w:r>
          </w:p>
        </w:tc>
        <w:tc>
          <w:tcPr>
            <w:tcW w:w="1872" w:type="dxa"/>
            <w:tcBorders/>
            <w:shd w:val="clear" w:color="auto" w:fill="auto"/>
            <w:tcMar>
              <w:top w:w="120" w:type="dxa"/>
              <w:left w:w="120" w:type="dxa"/>
              <w:bottom w:w="120" w:type="dxa"/>
              <w:right w:w="120" w:type="dxa"/>
            </w:tcMar>
          </w:tcPr>
          <w:p w14:paraId="13CB0564">
            <w:pPr>
              <w:pStyle w:val="style4098"/>
              <w:pBdr>
                <w:left w:val="nil"/>
                <w:right w:val="nil"/>
                <w:top w:val="nil"/>
                <w:bottom w:val="nil"/>
                <w:between w:val="nil"/>
              </w:pBdr>
              <w:bidi/>
              <w:rPr/>
            </w:pPr>
            <w:r>
              <w:rPr>
                <w:rtl/>
              </w:rPr>
              <w:t xml:space="preserve">تقديم عرض توضيحي وحوارات تفاعلية حول مفهوم العمل التطوعي </w:t>
            </w:r>
            <w:r>
              <w:rPr>
                <w:rtl/>
              </w:rPr>
              <w:t>وأخلاقياته وأدبياته، ورسم لوحات جدارية حائطية حافزة</w:t>
            </w:r>
            <w:r>
              <w:t>.</w:t>
            </w:r>
          </w:p>
        </w:tc>
        <w:tc>
          <w:tcPr>
            <w:tcW w:w="1872" w:type="dxa"/>
            <w:tcBorders/>
            <w:shd w:val="clear" w:color="auto" w:fill="auto"/>
            <w:tcMar>
              <w:top w:w="120" w:type="dxa"/>
              <w:left w:w="120" w:type="dxa"/>
              <w:bottom w:w="120" w:type="dxa"/>
              <w:right w:w="120" w:type="dxa"/>
            </w:tcMar>
          </w:tcPr>
          <w:p w14:paraId="8B8173F7">
            <w:pPr>
              <w:pStyle w:val="style4098"/>
              <w:pBdr>
                <w:left w:val="nil"/>
                <w:right w:val="nil"/>
                <w:top w:val="nil"/>
                <w:bottom w:val="nil"/>
                <w:between w:val="nil"/>
              </w:pBdr>
              <w:bidi/>
              <w:rPr/>
            </w:pPr>
            <w:r>
              <w:rPr>
                <w:rtl/>
              </w:rPr>
              <w:t>تقويم بالتواصل (أسئلة وأجوبة) + ملاحظة مباشرة</w:t>
            </w:r>
            <w:r>
              <w:t>.</w:t>
            </w:r>
          </w:p>
        </w:tc>
        <w:tc>
          <w:tcPr>
            <w:tcW w:w="1872" w:type="dxa"/>
            <w:tcBorders/>
            <w:shd w:val="clear" w:color="auto" w:fill="auto"/>
            <w:tcMar>
              <w:top w:w="120" w:type="dxa"/>
              <w:left w:w="120" w:type="dxa"/>
              <w:bottom w:w="120" w:type="dxa"/>
              <w:right w:w="120" w:type="dxa"/>
            </w:tcMar>
          </w:tcPr>
          <w:p w14:paraId="671811FF">
            <w:pPr>
              <w:pStyle w:val="style4098"/>
              <w:pBdr>
                <w:left w:val="nil"/>
                <w:right w:val="nil"/>
                <w:top w:val="nil"/>
                <w:bottom w:val="nil"/>
                <w:between w:val="nil"/>
              </w:pBdr>
              <w:bidi/>
              <w:rPr/>
            </w:pPr>
            <w:r>
              <w:rPr>
                <w:rtl/>
              </w:rPr>
              <w:t>توفير مواد</w:t>
            </w:r>
            <w:r>
              <w:t xml:space="preserve"> visual </w:t>
            </w:r>
            <w:r>
              <w:rPr>
                <w:rtl/>
              </w:rPr>
              <w:t>ومقاطع مصورة مترجمة بلغة الإشارة ورسومات توضيحية</w:t>
            </w:r>
            <w:r>
              <w:t>.</w:t>
            </w:r>
          </w:p>
        </w:tc>
      </w:tr>
      <w:tr w14:paraId="1A62BE18">
        <w:tblPrEx/>
        <w:trPr>
          <w:cantSplit/>
          <w:tblHeader/>
        </w:trPr>
        <w:tc>
          <w:tcPr>
            <w:tcW w:w="1872" w:type="dxa"/>
            <w:tcBorders/>
            <w:shd w:val="clear" w:color="auto" w:fill="auto"/>
            <w:tcMar>
              <w:top w:w="120" w:type="dxa"/>
              <w:left w:w="120" w:type="dxa"/>
              <w:bottom w:w="120" w:type="dxa"/>
              <w:right w:w="120" w:type="dxa"/>
            </w:tcMar>
          </w:tcPr>
          <w:p w14:paraId="15D0BDDE">
            <w:pPr>
              <w:pStyle w:val="style4098"/>
              <w:pBdr>
                <w:left w:val="nil"/>
                <w:right w:val="nil"/>
                <w:top w:val="nil"/>
                <w:bottom w:val="nil"/>
                <w:between w:val="nil"/>
              </w:pBdr>
              <w:bidi/>
              <w:rPr>
                <w:b/>
                <w:bCs/>
              </w:rPr>
            </w:pPr>
            <w:r>
              <w:rPr>
                <w:b/>
                <w:bCs/>
                <w:rtl/>
              </w:rPr>
              <w:t>تشرين الأول (أكتوبر</w:t>
            </w:r>
            <w:r>
              <w:rPr>
                <w:b/>
                <w:bCs/>
              </w:rPr>
              <w:t>)</w:t>
            </w:r>
          </w:p>
        </w:tc>
        <w:tc>
          <w:tcPr>
            <w:tcW w:w="1872" w:type="dxa"/>
            <w:tcBorders/>
            <w:shd w:val="clear" w:color="auto" w:fill="auto"/>
            <w:tcMar>
              <w:top w:w="120" w:type="dxa"/>
              <w:left w:w="120" w:type="dxa"/>
              <w:bottom w:w="120" w:type="dxa"/>
              <w:right w:w="120" w:type="dxa"/>
            </w:tcMar>
          </w:tcPr>
          <w:p w14:paraId="BB7CE9D4">
            <w:pPr>
              <w:pStyle w:val="style4098"/>
              <w:pBdr>
                <w:left w:val="nil"/>
                <w:right w:val="nil"/>
                <w:top w:val="nil"/>
                <w:bottom w:val="nil"/>
                <w:between w:val="nil"/>
              </w:pBdr>
              <w:bidi/>
              <w:rPr/>
            </w:pPr>
            <w:r>
              <w:rPr>
                <w:rtl/>
              </w:rPr>
              <w:t>تأسيس "نادي الزيارات الميدانية والتطوع</w:t>
            </w:r>
            <w:r>
              <w:t>"</w:t>
            </w:r>
          </w:p>
        </w:tc>
        <w:tc>
          <w:tcPr>
            <w:tcW w:w="1872" w:type="dxa"/>
            <w:tcBorders/>
            <w:shd w:val="clear" w:color="auto" w:fill="auto"/>
            <w:tcMar>
              <w:top w:w="120" w:type="dxa"/>
              <w:left w:w="120" w:type="dxa"/>
              <w:bottom w:w="120" w:type="dxa"/>
              <w:right w:w="120" w:type="dxa"/>
            </w:tcMar>
          </w:tcPr>
          <w:p w14:paraId="660E9D95">
            <w:pPr>
              <w:pStyle w:val="style4098"/>
              <w:pBdr>
                <w:left w:val="nil"/>
                <w:right w:val="nil"/>
                <w:top w:val="nil"/>
                <w:bottom w:val="nil"/>
                <w:between w:val="nil"/>
              </w:pBdr>
              <w:bidi/>
              <w:rPr/>
            </w:pPr>
            <w:r>
              <w:rPr>
                <w:rtl/>
              </w:rPr>
              <w:t xml:space="preserve">تشكيل فريق العمل الميداني </w:t>
            </w:r>
            <w:r>
              <w:rPr>
                <w:rtl/>
              </w:rPr>
              <w:t>للزيارات، وتنظيم حملة للمحافظة على بيئة المدرسة والحديقة المدرسية وزراعة الأشتال</w:t>
            </w:r>
            <w:r>
              <w:t>.</w:t>
            </w:r>
          </w:p>
        </w:tc>
        <w:tc>
          <w:tcPr>
            <w:tcW w:w="1872" w:type="dxa"/>
            <w:tcBorders/>
            <w:shd w:val="clear" w:color="auto" w:fill="auto"/>
            <w:tcMar>
              <w:top w:w="120" w:type="dxa"/>
              <w:left w:w="120" w:type="dxa"/>
              <w:bottom w:w="120" w:type="dxa"/>
              <w:right w:w="120" w:type="dxa"/>
            </w:tcMar>
          </w:tcPr>
          <w:p w14:paraId="6026394E">
            <w:pPr>
              <w:pStyle w:val="style4098"/>
              <w:pBdr>
                <w:left w:val="nil"/>
                <w:right w:val="nil"/>
                <w:top w:val="nil"/>
                <w:bottom w:val="nil"/>
                <w:between w:val="nil"/>
              </w:pBdr>
              <w:bidi/>
              <w:rPr/>
            </w:pPr>
            <w:r>
              <w:rPr>
                <w:rtl/>
              </w:rPr>
              <w:t>تقويم معتمد على الأداء (الأداء العملي) + قائمة رصد</w:t>
            </w:r>
            <w:r>
              <w:t>.</w:t>
            </w:r>
          </w:p>
        </w:tc>
        <w:tc>
          <w:tcPr>
            <w:tcW w:w="1872" w:type="dxa"/>
            <w:tcBorders/>
            <w:shd w:val="clear" w:color="auto" w:fill="auto"/>
            <w:tcMar>
              <w:top w:w="120" w:type="dxa"/>
              <w:left w:w="120" w:type="dxa"/>
              <w:bottom w:w="120" w:type="dxa"/>
              <w:right w:w="120" w:type="dxa"/>
            </w:tcMar>
          </w:tcPr>
          <w:p w14:paraId="174A4DA3">
            <w:pPr>
              <w:pStyle w:val="style4098"/>
              <w:pBdr>
                <w:left w:val="nil"/>
                <w:right w:val="nil"/>
                <w:top w:val="nil"/>
                <w:bottom w:val="nil"/>
                <w:between w:val="nil"/>
              </w:pBdr>
              <w:bidi/>
              <w:rPr/>
            </w:pPr>
            <w:r>
              <w:rPr>
                <w:rtl/>
              </w:rPr>
              <w:t>تهيئة المسارات والحديقة المدرسية لتكون سهلة الوصول لمستخدمي الكراسي المتحركة</w:t>
            </w:r>
            <w:r>
              <w:t>.</w:t>
            </w:r>
          </w:p>
        </w:tc>
      </w:tr>
      <w:tr w14:paraId="09F3482B">
        <w:tblPrEx/>
        <w:trPr>
          <w:cantSplit/>
          <w:tblHeader/>
        </w:trPr>
        <w:tc>
          <w:tcPr>
            <w:tcW w:w="1872" w:type="dxa"/>
            <w:tcBorders/>
            <w:shd w:val="clear" w:color="auto" w:fill="auto"/>
            <w:tcMar>
              <w:top w:w="120" w:type="dxa"/>
              <w:left w:w="120" w:type="dxa"/>
              <w:bottom w:w="120" w:type="dxa"/>
              <w:right w:w="120" w:type="dxa"/>
            </w:tcMar>
          </w:tcPr>
          <w:p w14:paraId="CFB08CEA">
            <w:pPr>
              <w:pStyle w:val="style4098"/>
              <w:pBdr>
                <w:left w:val="nil"/>
                <w:right w:val="nil"/>
                <w:top w:val="nil"/>
                <w:bottom w:val="nil"/>
                <w:between w:val="nil"/>
              </w:pBdr>
              <w:bidi/>
              <w:rPr>
                <w:b/>
                <w:bCs/>
              </w:rPr>
            </w:pPr>
            <w:r>
              <w:rPr>
                <w:b/>
                <w:bCs/>
                <w:rtl/>
              </w:rPr>
              <w:t>تشرين الثاني (نوفمبر</w:t>
            </w:r>
            <w:r>
              <w:rPr>
                <w:b/>
                <w:bCs/>
              </w:rPr>
              <w:t>)</w:t>
            </w:r>
          </w:p>
        </w:tc>
        <w:tc>
          <w:tcPr>
            <w:tcW w:w="1872" w:type="dxa"/>
            <w:tcBorders/>
            <w:shd w:val="clear" w:color="auto" w:fill="auto"/>
            <w:tcMar>
              <w:top w:w="120" w:type="dxa"/>
              <w:left w:w="120" w:type="dxa"/>
              <w:bottom w:w="120" w:type="dxa"/>
              <w:right w:w="120" w:type="dxa"/>
            </w:tcMar>
          </w:tcPr>
          <w:p w14:paraId="6DDAA595">
            <w:pPr>
              <w:pStyle w:val="style4098"/>
              <w:pBdr>
                <w:left w:val="nil"/>
                <w:right w:val="nil"/>
                <w:top w:val="nil"/>
                <w:bottom w:val="nil"/>
                <w:between w:val="nil"/>
              </w:pBdr>
              <w:bidi/>
              <w:rPr/>
            </w:pPr>
            <w:r>
              <w:rPr>
                <w:rtl/>
              </w:rPr>
              <w:t>مناظرة "المسؤولية الب</w:t>
            </w:r>
            <w:r>
              <w:rPr>
                <w:rtl/>
              </w:rPr>
              <w:t>يئية والمواطنة الفاعلة</w:t>
            </w:r>
            <w:r>
              <w:t>"</w:t>
            </w:r>
          </w:p>
        </w:tc>
        <w:tc>
          <w:tcPr>
            <w:tcW w:w="1872" w:type="dxa"/>
            <w:tcBorders/>
            <w:shd w:val="clear" w:color="auto" w:fill="auto"/>
            <w:tcMar>
              <w:top w:w="120" w:type="dxa"/>
              <w:left w:w="120" w:type="dxa"/>
              <w:bottom w:w="120" w:type="dxa"/>
              <w:right w:w="120" w:type="dxa"/>
            </w:tcMar>
          </w:tcPr>
          <w:p w14:paraId="BA0A9474">
            <w:pPr>
              <w:pStyle w:val="style4098"/>
              <w:pBdr>
                <w:left w:val="nil"/>
                <w:right w:val="nil"/>
                <w:top w:val="nil"/>
                <w:bottom w:val="nil"/>
                <w:between w:val="nil"/>
              </w:pBdr>
              <w:bidi/>
              <w:rPr/>
            </w:pPr>
            <w:r>
              <w:rPr>
                <w:rtl/>
              </w:rPr>
              <w:t>عقد مناظرة بين فريقين من الطلبة حول تحديات البيئة وتأثير التكافل والعمل الجماعي في حلها، مع وجود لجنة تحكيم</w:t>
            </w:r>
            <w:r>
              <w:t>.</w:t>
            </w:r>
          </w:p>
        </w:tc>
        <w:tc>
          <w:tcPr>
            <w:tcW w:w="1872" w:type="dxa"/>
            <w:tcBorders/>
            <w:shd w:val="clear" w:color="auto" w:fill="auto"/>
            <w:tcMar>
              <w:top w:w="120" w:type="dxa"/>
              <w:left w:w="120" w:type="dxa"/>
              <w:bottom w:w="120" w:type="dxa"/>
              <w:right w:w="120" w:type="dxa"/>
            </w:tcMar>
          </w:tcPr>
          <w:p w14:paraId="ECC2B2F4">
            <w:pPr>
              <w:pStyle w:val="style4098"/>
              <w:pBdr>
                <w:left w:val="nil"/>
                <w:right w:val="nil"/>
                <w:top w:val="nil"/>
                <w:bottom w:val="nil"/>
                <w:between w:val="nil"/>
              </w:pBdr>
              <w:bidi/>
              <w:rPr/>
            </w:pPr>
            <w:r>
              <w:rPr>
                <w:rtl/>
              </w:rPr>
              <w:t>استراتيجية المناظرة والمناقشة + سلم تقدير لفظي</w:t>
            </w:r>
            <w:r>
              <w:t>.</w:t>
            </w:r>
          </w:p>
        </w:tc>
        <w:tc>
          <w:tcPr>
            <w:tcW w:w="1872" w:type="dxa"/>
            <w:tcBorders/>
            <w:shd w:val="clear" w:color="auto" w:fill="auto"/>
            <w:tcMar>
              <w:top w:w="120" w:type="dxa"/>
              <w:left w:w="120" w:type="dxa"/>
              <w:bottom w:w="120" w:type="dxa"/>
              <w:right w:w="120" w:type="dxa"/>
            </w:tcMar>
          </w:tcPr>
          <w:p w14:paraId="EE2CE4C8">
            <w:pPr>
              <w:pStyle w:val="style4098"/>
              <w:pBdr>
                <w:left w:val="nil"/>
                <w:right w:val="nil"/>
                <w:top w:val="nil"/>
                <w:bottom w:val="nil"/>
                <w:between w:val="nil"/>
              </w:pBdr>
              <w:bidi/>
              <w:rPr/>
            </w:pPr>
            <w:r>
              <w:rPr>
                <w:rtl/>
              </w:rPr>
              <w:t>إتاحة المشاركة الصوتية أو الكتابية التكيّفية بحسب احتياج الطالب</w:t>
            </w:r>
            <w:r>
              <w:t>.</w:t>
            </w:r>
          </w:p>
        </w:tc>
      </w:tr>
      <w:tr w14:paraId="65A1363B">
        <w:tblPrEx/>
        <w:trPr>
          <w:cantSplit/>
          <w:tblHeader/>
        </w:trPr>
        <w:tc>
          <w:tcPr>
            <w:tcW w:w="1872" w:type="dxa"/>
            <w:tcBorders/>
            <w:shd w:val="clear" w:color="auto" w:fill="auto"/>
            <w:tcMar>
              <w:top w:w="120" w:type="dxa"/>
              <w:left w:w="120" w:type="dxa"/>
              <w:bottom w:w="120" w:type="dxa"/>
              <w:right w:w="120" w:type="dxa"/>
            </w:tcMar>
          </w:tcPr>
          <w:p w14:paraId="5107A46A">
            <w:pPr>
              <w:pStyle w:val="style4098"/>
              <w:pBdr>
                <w:left w:val="nil"/>
                <w:right w:val="nil"/>
                <w:top w:val="nil"/>
                <w:bottom w:val="nil"/>
                <w:between w:val="nil"/>
              </w:pBdr>
              <w:bidi/>
              <w:rPr>
                <w:b/>
                <w:bCs/>
              </w:rPr>
            </w:pPr>
            <w:r>
              <w:rPr>
                <w:b/>
                <w:bCs/>
                <w:rtl/>
              </w:rPr>
              <w:t xml:space="preserve">كانون </w:t>
            </w:r>
            <w:r>
              <w:rPr>
                <w:b/>
                <w:bCs/>
                <w:rtl/>
              </w:rPr>
              <w:t>الأول (ديسمبر</w:t>
            </w:r>
            <w:r>
              <w:rPr>
                <w:b/>
                <w:bCs/>
              </w:rPr>
              <w:t>)</w:t>
            </w:r>
          </w:p>
        </w:tc>
        <w:tc>
          <w:tcPr>
            <w:tcW w:w="1872" w:type="dxa"/>
            <w:tcBorders/>
            <w:shd w:val="clear" w:color="auto" w:fill="auto"/>
            <w:tcMar>
              <w:top w:w="120" w:type="dxa"/>
              <w:left w:w="120" w:type="dxa"/>
              <w:bottom w:w="120" w:type="dxa"/>
              <w:right w:w="120" w:type="dxa"/>
            </w:tcMar>
          </w:tcPr>
          <w:p w14:paraId="F88A8896">
            <w:pPr>
              <w:pStyle w:val="style4098"/>
              <w:pBdr>
                <w:left w:val="nil"/>
                <w:right w:val="nil"/>
                <w:top w:val="nil"/>
                <w:bottom w:val="nil"/>
                <w:between w:val="nil"/>
              </w:pBdr>
              <w:bidi/>
              <w:rPr/>
            </w:pPr>
            <w:r>
              <w:rPr>
                <w:rtl/>
              </w:rPr>
              <w:t>صناع المحتوى التطوعي الرقمي</w:t>
            </w:r>
          </w:p>
        </w:tc>
        <w:tc>
          <w:tcPr>
            <w:tcW w:w="1872" w:type="dxa"/>
            <w:tcBorders/>
            <w:shd w:val="clear" w:color="auto" w:fill="auto"/>
            <w:tcMar>
              <w:top w:w="120" w:type="dxa"/>
              <w:left w:w="120" w:type="dxa"/>
              <w:bottom w:w="120" w:type="dxa"/>
              <w:right w:w="120" w:type="dxa"/>
            </w:tcMar>
          </w:tcPr>
          <w:p w14:paraId="19F5FB84">
            <w:pPr>
              <w:pStyle w:val="style4098"/>
              <w:pBdr>
                <w:left w:val="nil"/>
                <w:right w:val="nil"/>
                <w:top w:val="nil"/>
                <w:bottom w:val="nil"/>
                <w:between w:val="nil"/>
              </w:pBdr>
              <w:bidi/>
              <w:rPr/>
            </w:pPr>
            <w:r>
              <w:rPr>
                <w:rtl/>
              </w:rPr>
              <w:t>تصميم منشورات، وإنتاج فيديوهات قصيرة، وكتابة قصص صحفية تثقيفية حول صور التكافل والوئام في المجتمع</w:t>
            </w:r>
            <w:r>
              <w:t>.</w:t>
            </w:r>
          </w:p>
        </w:tc>
        <w:tc>
          <w:tcPr>
            <w:tcW w:w="1872" w:type="dxa"/>
            <w:tcBorders/>
            <w:shd w:val="clear" w:color="auto" w:fill="auto"/>
            <w:tcMar>
              <w:top w:w="120" w:type="dxa"/>
              <w:left w:w="120" w:type="dxa"/>
              <w:bottom w:w="120" w:type="dxa"/>
              <w:right w:w="120" w:type="dxa"/>
            </w:tcMar>
          </w:tcPr>
          <w:p w14:paraId="16A40E0F">
            <w:pPr>
              <w:pStyle w:val="style4098"/>
              <w:pBdr>
                <w:left w:val="nil"/>
                <w:right w:val="nil"/>
                <w:top w:val="nil"/>
                <w:bottom w:val="nil"/>
                <w:between w:val="nil"/>
              </w:pBdr>
              <w:bidi/>
              <w:rPr/>
            </w:pPr>
            <w:r>
              <w:rPr>
                <w:rtl/>
              </w:rPr>
              <w:t>التقديم والعرض التوضيحي + ملف الطالب</w:t>
            </w:r>
            <w:r>
              <w:t xml:space="preserve"> (Portfolio).</w:t>
            </w:r>
          </w:p>
        </w:tc>
        <w:tc>
          <w:tcPr>
            <w:tcW w:w="1872" w:type="dxa"/>
            <w:tcBorders/>
            <w:shd w:val="clear" w:color="auto" w:fill="auto"/>
            <w:tcMar>
              <w:top w:w="120" w:type="dxa"/>
              <w:left w:w="120" w:type="dxa"/>
              <w:bottom w:w="120" w:type="dxa"/>
              <w:right w:w="120" w:type="dxa"/>
            </w:tcMar>
          </w:tcPr>
          <w:p w14:paraId="BC34F0D4">
            <w:pPr>
              <w:pStyle w:val="style4098"/>
              <w:pBdr>
                <w:left w:val="nil"/>
                <w:right w:val="nil"/>
                <w:top w:val="nil"/>
                <w:bottom w:val="nil"/>
                <w:between w:val="nil"/>
              </w:pBdr>
              <w:bidi/>
              <w:rPr/>
            </w:pPr>
            <w:r>
              <w:rPr>
                <w:rtl/>
              </w:rPr>
              <w:t>استخدام برمجيات وتطبيقات ناطقة وقارئات الشاشة لذوي الإعاقة البصر</w:t>
            </w:r>
            <w:r>
              <w:rPr>
                <w:rtl/>
              </w:rPr>
              <w:t>ية</w:t>
            </w:r>
            <w:r>
              <w:t>.</w:t>
            </w:r>
          </w:p>
        </w:tc>
      </w:tr>
      <w:tr w14:paraId="48FB6CC8">
        <w:tblPrEx/>
        <w:trPr>
          <w:cantSplit/>
          <w:tblHeader/>
        </w:trPr>
        <w:tc>
          <w:tcPr>
            <w:tcW w:w="1872" w:type="dxa"/>
            <w:tcBorders/>
            <w:shd w:val="clear" w:color="auto" w:fill="auto"/>
            <w:tcMar>
              <w:top w:w="120" w:type="dxa"/>
              <w:left w:w="120" w:type="dxa"/>
              <w:bottom w:w="120" w:type="dxa"/>
              <w:right w:w="120" w:type="dxa"/>
            </w:tcMar>
          </w:tcPr>
          <w:p w14:paraId="8B85D84B">
            <w:pPr>
              <w:pStyle w:val="style4098"/>
              <w:pBdr>
                <w:left w:val="nil"/>
                <w:right w:val="nil"/>
                <w:top w:val="nil"/>
                <w:bottom w:val="nil"/>
                <w:between w:val="nil"/>
              </w:pBdr>
              <w:bidi/>
              <w:rPr>
                <w:b/>
                <w:bCs/>
              </w:rPr>
            </w:pPr>
            <w:r>
              <w:rPr>
                <w:b/>
                <w:bCs/>
                <w:rtl/>
              </w:rPr>
              <w:t>كانون الثاني (يناير</w:t>
            </w:r>
            <w:r>
              <w:rPr>
                <w:b/>
                <w:bCs/>
              </w:rPr>
              <w:t>)</w:t>
            </w:r>
          </w:p>
        </w:tc>
        <w:tc>
          <w:tcPr>
            <w:tcW w:w="1872" w:type="dxa"/>
            <w:tcBorders/>
            <w:shd w:val="clear" w:color="auto" w:fill="auto"/>
            <w:tcMar>
              <w:top w:w="120" w:type="dxa"/>
              <w:left w:w="120" w:type="dxa"/>
              <w:bottom w:w="120" w:type="dxa"/>
              <w:right w:w="120" w:type="dxa"/>
            </w:tcMar>
          </w:tcPr>
          <w:p w14:paraId="2A4D3CB9">
            <w:pPr>
              <w:pStyle w:val="style4098"/>
              <w:pBdr>
                <w:left w:val="nil"/>
                <w:right w:val="nil"/>
                <w:top w:val="nil"/>
                <w:bottom w:val="nil"/>
                <w:between w:val="nil"/>
              </w:pBdr>
              <w:bidi/>
              <w:rPr/>
            </w:pPr>
            <w:r>
              <w:rPr>
                <w:rtl/>
              </w:rPr>
              <w:t>جلسة التأمل الذاتي ومراجعة الأداء</w:t>
            </w:r>
          </w:p>
        </w:tc>
        <w:tc>
          <w:tcPr>
            <w:tcW w:w="1872" w:type="dxa"/>
            <w:tcBorders/>
            <w:shd w:val="clear" w:color="auto" w:fill="auto"/>
            <w:tcMar>
              <w:top w:w="120" w:type="dxa"/>
              <w:left w:w="120" w:type="dxa"/>
              <w:bottom w:w="120" w:type="dxa"/>
              <w:right w:w="120" w:type="dxa"/>
            </w:tcMar>
          </w:tcPr>
          <w:p w14:paraId="E619488E">
            <w:pPr>
              <w:pStyle w:val="style4098"/>
              <w:pBdr>
                <w:left w:val="nil"/>
                <w:right w:val="nil"/>
                <w:top w:val="nil"/>
                <w:bottom w:val="nil"/>
                <w:between w:val="nil"/>
              </w:pBdr>
              <w:bidi/>
              <w:rPr/>
            </w:pPr>
            <w:r>
              <w:rPr>
                <w:rtl/>
              </w:rPr>
              <w:t>كتابة مذكرات الطلبة الانطباعية حول الفعاليات السابقة وتحديث ملفات الإنجاز وتقويم المهارات الشخصية</w:t>
            </w:r>
            <w:r>
              <w:t>.</w:t>
            </w:r>
          </w:p>
        </w:tc>
        <w:tc>
          <w:tcPr>
            <w:tcW w:w="1872" w:type="dxa"/>
            <w:tcBorders/>
            <w:shd w:val="clear" w:color="auto" w:fill="auto"/>
            <w:tcMar>
              <w:top w:w="120" w:type="dxa"/>
              <w:left w:w="120" w:type="dxa"/>
              <w:bottom w:w="120" w:type="dxa"/>
              <w:right w:w="120" w:type="dxa"/>
            </w:tcMar>
          </w:tcPr>
          <w:p w14:paraId="E18DDB6D">
            <w:pPr>
              <w:pStyle w:val="style4098"/>
              <w:pBdr>
                <w:left w:val="nil"/>
                <w:right w:val="nil"/>
                <w:top w:val="nil"/>
                <w:bottom w:val="nil"/>
                <w:between w:val="nil"/>
              </w:pBdr>
              <w:bidi/>
              <w:rPr/>
            </w:pPr>
            <w:r>
              <w:rPr>
                <w:rtl/>
              </w:rPr>
              <w:t>استراتيجية مراجعة الذات (المذكرات، التقويم الذاتي</w:t>
            </w:r>
            <w:r>
              <w:t>).</w:t>
            </w:r>
          </w:p>
        </w:tc>
        <w:tc>
          <w:tcPr>
            <w:tcW w:w="1872" w:type="dxa"/>
            <w:tcBorders/>
            <w:shd w:val="clear" w:color="auto" w:fill="auto"/>
            <w:tcMar>
              <w:top w:w="120" w:type="dxa"/>
              <w:left w:w="120" w:type="dxa"/>
              <w:bottom w:w="120" w:type="dxa"/>
              <w:right w:w="120" w:type="dxa"/>
            </w:tcMar>
          </w:tcPr>
          <w:p w14:paraId="CAC91F1B">
            <w:pPr>
              <w:pStyle w:val="style4098"/>
              <w:pBdr>
                <w:left w:val="nil"/>
                <w:right w:val="nil"/>
                <w:top w:val="nil"/>
                <w:bottom w:val="nil"/>
                <w:between w:val="nil"/>
              </w:pBdr>
              <w:bidi/>
              <w:rPr/>
            </w:pPr>
            <w:r>
              <w:rPr>
                <w:rtl/>
              </w:rPr>
              <w:t xml:space="preserve">توفير خيارات التسجيل الصوتي لملاحظات التأمل </w:t>
            </w:r>
            <w:r>
              <w:rPr>
                <w:rtl/>
              </w:rPr>
              <w:t>بدلاً من الكتابة لمن يحتاج ذلك</w:t>
            </w:r>
            <w:r>
              <w:t>.</w:t>
            </w:r>
          </w:p>
        </w:tc>
      </w:tr>
      <w:tr w14:paraId="47F1BAAC">
        <w:tblPrEx/>
        <w:trPr>
          <w:cantSplit/>
          <w:tblHeader/>
        </w:trPr>
        <w:tc>
          <w:tcPr>
            <w:tcW w:w="1872" w:type="dxa"/>
            <w:tcBorders/>
            <w:shd w:val="clear" w:color="auto" w:fill="auto"/>
            <w:tcMar>
              <w:top w:w="120" w:type="dxa"/>
              <w:left w:w="120" w:type="dxa"/>
              <w:bottom w:w="120" w:type="dxa"/>
              <w:right w:w="120" w:type="dxa"/>
            </w:tcMar>
          </w:tcPr>
          <w:p w14:paraId="89A3488D">
            <w:pPr>
              <w:pStyle w:val="style4098"/>
              <w:pBdr>
                <w:left w:val="nil"/>
                <w:right w:val="nil"/>
                <w:top w:val="nil"/>
                <w:bottom w:val="nil"/>
                <w:between w:val="nil"/>
              </w:pBdr>
              <w:bidi/>
              <w:rPr>
                <w:b/>
                <w:bCs/>
              </w:rPr>
            </w:pPr>
            <w:r>
              <w:rPr>
                <w:b/>
                <w:bCs/>
                <w:rtl/>
              </w:rPr>
              <w:t>شباط (فبراير</w:t>
            </w:r>
            <w:r>
              <w:rPr>
                <w:b/>
                <w:bCs/>
              </w:rPr>
              <w:t>)</w:t>
            </w:r>
          </w:p>
        </w:tc>
        <w:tc>
          <w:tcPr>
            <w:tcW w:w="1872" w:type="dxa"/>
            <w:tcBorders/>
            <w:shd w:val="clear" w:color="auto" w:fill="auto"/>
            <w:tcMar>
              <w:top w:w="120" w:type="dxa"/>
              <w:left w:w="120" w:type="dxa"/>
              <w:bottom w:w="120" w:type="dxa"/>
              <w:right w:w="120" w:type="dxa"/>
            </w:tcMar>
          </w:tcPr>
          <w:p w14:paraId="A4229652">
            <w:pPr>
              <w:pStyle w:val="style4098"/>
              <w:pBdr>
                <w:left w:val="nil"/>
                <w:right w:val="nil"/>
                <w:top w:val="nil"/>
                <w:bottom w:val="nil"/>
                <w:between w:val="nil"/>
              </w:pBdr>
              <w:bidi/>
              <w:rPr/>
            </w:pPr>
            <w:r>
              <w:rPr>
                <w:rtl/>
              </w:rPr>
              <w:t>مبادرة الشراكة مع الجمعيات والمؤسسات المحلية</w:t>
            </w:r>
          </w:p>
        </w:tc>
        <w:tc>
          <w:tcPr>
            <w:tcW w:w="1872" w:type="dxa"/>
            <w:tcBorders/>
            <w:shd w:val="clear" w:color="auto" w:fill="auto"/>
            <w:tcMar>
              <w:top w:w="120" w:type="dxa"/>
              <w:left w:w="120" w:type="dxa"/>
              <w:bottom w:w="120" w:type="dxa"/>
              <w:right w:w="120" w:type="dxa"/>
            </w:tcMar>
          </w:tcPr>
          <w:p w14:paraId="3A455603">
            <w:pPr>
              <w:pStyle w:val="style4098"/>
              <w:pBdr>
                <w:left w:val="nil"/>
                <w:right w:val="nil"/>
                <w:top w:val="nil"/>
                <w:bottom w:val="nil"/>
                <w:between w:val="nil"/>
              </w:pBdr>
              <w:bidi/>
              <w:rPr/>
            </w:pPr>
            <w:r>
              <w:rPr>
                <w:rtl/>
              </w:rPr>
              <w:t>عقد لقاءات ومقابلات مع ممثلي مبادرات أهلية وجمعيات خيرية مجتمعية للاستفادة من خبراتهم وتصميم مشروع مشترك</w:t>
            </w:r>
            <w:r>
              <w:t>.</w:t>
            </w:r>
          </w:p>
        </w:tc>
        <w:tc>
          <w:tcPr>
            <w:tcW w:w="1872" w:type="dxa"/>
            <w:tcBorders/>
            <w:shd w:val="clear" w:color="auto" w:fill="auto"/>
            <w:tcMar>
              <w:top w:w="120" w:type="dxa"/>
              <w:left w:w="120" w:type="dxa"/>
              <w:bottom w:w="120" w:type="dxa"/>
              <w:right w:w="120" w:type="dxa"/>
            </w:tcMar>
          </w:tcPr>
          <w:p w14:paraId="D53224E4">
            <w:pPr>
              <w:pStyle w:val="style4098"/>
              <w:pBdr>
                <w:left w:val="nil"/>
                <w:right w:val="nil"/>
                <w:top w:val="nil"/>
                <w:bottom w:val="nil"/>
                <w:between w:val="nil"/>
              </w:pBdr>
              <w:bidi/>
              <w:rPr/>
            </w:pPr>
            <w:r>
              <w:rPr>
                <w:rtl/>
              </w:rPr>
              <w:t>استراتيجية المقابلة + السجل القصصي للمعلم</w:t>
            </w:r>
            <w:r>
              <w:t>.</w:t>
            </w:r>
          </w:p>
        </w:tc>
        <w:tc>
          <w:tcPr>
            <w:tcW w:w="1872" w:type="dxa"/>
            <w:tcBorders/>
            <w:shd w:val="clear" w:color="auto" w:fill="auto"/>
            <w:tcMar>
              <w:top w:w="120" w:type="dxa"/>
              <w:left w:w="120" w:type="dxa"/>
              <w:bottom w:w="120" w:type="dxa"/>
              <w:right w:w="120" w:type="dxa"/>
            </w:tcMar>
          </w:tcPr>
          <w:p w14:paraId="71BEF81C">
            <w:pPr>
              <w:pStyle w:val="style4098"/>
              <w:pBdr>
                <w:left w:val="nil"/>
                <w:right w:val="nil"/>
                <w:top w:val="nil"/>
                <w:bottom w:val="nil"/>
                <w:between w:val="nil"/>
              </w:pBdr>
              <w:bidi/>
              <w:rPr/>
            </w:pPr>
            <w:r>
              <w:rPr>
                <w:rtl/>
              </w:rPr>
              <w:t>توفير مترجم لغة</w:t>
            </w:r>
            <w:r>
              <w:rPr>
                <w:rtl/>
              </w:rPr>
              <w:t xml:space="preserve"> إشارة أثناء اللقاءات والمقابلات المجتمعية</w:t>
            </w:r>
            <w:r>
              <w:t>.</w:t>
            </w:r>
          </w:p>
        </w:tc>
      </w:tr>
      <w:tr w14:paraId="94157602">
        <w:tblPrEx/>
        <w:trPr>
          <w:cantSplit/>
          <w:tblHeader/>
        </w:trPr>
        <w:tc>
          <w:tcPr>
            <w:tcW w:w="1872" w:type="dxa"/>
            <w:tcBorders/>
            <w:shd w:val="clear" w:color="auto" w:fill="auto"/>
            <w:tcMar>
              <w:top w:w="120" w:type="dxa"/>
              <w:left w:w="120" w:type="dxa"/>
              <w:bottom w:w="120" w:type="dxa"/>
              <w:right w:w="120" w:type="dxa"/>
            </w:tcMar>
          </w:tcPr>
          <w:p w14:paraId="FB992B86">
            <w:pPr>
              <w:pStyle w:val="style4098"/>
              <w:pBdr>
                <w:left w:val="nil"/>
                <w:right w:val="nil"/>
                <w:top w:val="nil"/>
                <w:bottom w:val="nil"/>
                <w:between w:val="nil"/>
              </w:pBdr>
              <w:bidi/>
              <w:rPr>
                <w:b/>
                <w:bCs/>
              </w:rPr>
            </w:pPr>
            <w:r>
              <w:rPr>
                <w:b/>
                <w:bCs/>
                <w:rtl/>
              </w:rPr>
              <w:t>آذار (مارس</w:t>
            </w:r>
            <w:r>
              <w:rPr>
                <w:b/>
                <w:bCs/>
              </w:rPr>
              <w:t>)</w:t>
            </w:r>
          </w:p>
        </w:tc>
        <w:tc>
          <w:tcPr>
            <w:tcW w:w="1872" w:type="dxa"/>
            <w:tcBorders/>
            <w:shd w:val="clear" w:color="auto" w:fill="auto"/>
            <w:tcMar>
              <w:top w:w="120" w:type="dxa"/>
              <w:left w:w="120" w:type="dxa"/>
              <w:bottom w:w="120" w:type="dxa"/>
              <w:right w:w="120" w:type="dxa"/>
            </w:tcMar>
          </w:tcPr>
          <w:p w14:paraId="AE93FAAA">
            <w:pPr>
              <w:pStyle w:val="style4098"/>
              <w:pBdr>
                <w:left w:val="nil"/>
                <w:right w:val="nil"/>
                <w:top w:val="nil"/>
                <w:bottom w:val="nil"/>
                <w:between w:val="nil"/>
              </w:pBdr>
              <w:bidi/>
              <w:rPr/>
            </w:pPr>
            <w:r>
              <w:rPr>
                <w:rtl/>
              </w:rPr>
              <w:t>حملة الإحسان والتكافل المجتمعي</w:t>
            </w:r>
          </w:p>
        </w:tc>
        <w:tc>
          <w:tcPr>
            <w:tcW w:w="1872" w:type="dxa"/>
            <w:tcBorders/>
            <w:shd w:val="clear" w:color="auto" w:fill="auto"/>
            <w:tcMar>
              <w:top w:w="120" w:type="dxa"/>
              <w:left w:w="120" w:type="dxa"/>
              <w:bottom w:w="120" w:type="dxa"/>
              <w:right w:w="120" w:type="dxa"/>
            </w:tcMar>
          </w:tcPr>
          <w:p w14:paraId="DA2FFB32">
            <w:pPr>
              <w:pStyle w:val="style4098"/>
              <w:pBdr>
                <w:left w:val="nil"/>
                <w:right w:val="nil"/>
                <w:top w:val="nil"/>
                <w:bottom w:val="nil"/>
                <w:between w:val="nil"/>
              </w:pBdr>
              <w:bidi/>
              <w:rPr/>
            </w:pPr>
            <w:r>
              <w:rPr>
                <w:rtl/>
              </w:rPr>
              <w:t>جمع التبرعات العينية وتغليف المستلزمات وتوزيعها على الفئات المحتاجة بالتعاون مع المجتمع المحلي</w:t>
            </w:r>
            <w:r>
              <w:t>.</w:t>
            </w:r>
          </w:p>
        </w:tc>
        <w:tc>
          <w:tcPr>
            <w:tcW w:w="1872" w:type="dxa"/>
            <w:tcBorders/>
            <w:shd w:val="clear" w:color="auto" w:fill="auto"/>
            <w:tcMar>
              <w:top w:w="120" w:type="dxa"/>
              <w:left w:w="120" w:type="dxa"/>
              <w:bottom w:w="120" w:type="dxa"/>
              <w:right w:w="120" w:type="dxa"/>
            </w:tcMar>
          </w:tcPr>
          <w:p w14:paraId="459BC0A2">
            <w:pPr>
              <w:pStyle w:val="style4098"/>
              <w:pBdr>
                <w:left w:val="nil"/>
                <w:right w:val="nil"/>
                <w:top w:val="nil"/>
                <w:bottom w:val="nil"/>
                <w:between w:val="nil"/>
              </w:pBdr>
              <w:bidi/>
              <w:rPr/>
            </w:pPr>
            <w:r>
              <w:rPr>
                <w:rtl/>
              </w:rPr>
              <w:t>التقويم الواقعي (العمل الميداني) + قائمة الشطب</w:t>
            </w:r>
            <w:r>
              <w:t>.</w:t>
            </w:r>
          </w:p>
        </w:tc>
        <w:tc>
          <w:tcPr>
            <w:tcW w:w="1872" w:type="dxa"/>
            <w:tcBorders/>
            <w:shd w:val="clear" w:color="auto" w:fill="auto"/>
            <w:tcMar>
              <w:top w:w="120" w:type="dxa"/>
              <w:left w:w="120" w:type="dxa"/>
              <w:bottom w:w="120" w:type="dxa"/>
              <w:right w:w="120" w:type="dxa"/>
            </w:tcMar>
          </w:tcPr>
          <w:p w14:paraId="EA267776">
            <w:pPr>
              <w:pStyle w:val="style4098"/>
              <w:pBdr>
                <w:left w:val="nil"/>
                <w:right w:val="nil"/>
                <w:top w:val="nil"/>
                <w:bottom w:val="nil"/>
                <w:between w:val="nil"/>
              </w:pBdr>
              <w:bidi/>
              <w:rPr/>
            </w:pPr>
            <w:r>
              <w:rPr>
                <w:rtl/>
              </w:rPr>
              <w:t xml:space="preserve">توزيع المهام بناءً على </w:t>
            </w:r>
            <w:r>
              <w:rPr>
                <w:rtl/>
              </w:rPr>
              <w:t>القدرات الحركية والبدنية المتنوعة لجميع الطلبة</w:t>
            </w:r>
            <w:r>
              <w:t>.</w:t>
            </w:r>
          </w:p>
        </w:tc>
      </w:tr>
      <w:tr w14:paraId="721C08B0">
        <w:tblPrEx/>
        <w:trPr>
          <w:cantSplit/>
          <w:tblHeader/>
        </w:trPr>
        <w:tc>
          <w:tcPr>
            <w:tcW w:w="1872" w:type="dxa"/>
            <w:tcBorders/>
            <w:shd w:val="clear" w:color="auto" w:fill="auto"/>
            <w:tcMar>
              <w:top w:w="120" w:type="dxa"/>
              <w:left w:w="120" w:type="dxa"/>
              <w:bottom w:w="120" w:type="dxa"/>
              <w:right w:w="120" w:type="dxa"/>
            </w:tcMar>
          </w:tcPr>
          <w:p w14:paraId="1FE449E3">
            <w:pPr>
              <w:pStyle w:val="style4098"/>
              <w:pBdr>
                <w:left w:val="nil"/>
                <w:right w:val="nil"/>
                <w:top w:val="nil"/>
                <w:bottom w:val="nil"/>
                <w:between w:val="nil"/>
              </w:pBdr>
              <w:bidi/>
              <w:rPr>
                <w:b/>
                <w:bCs/>
              </w:rPr>
            </w:pPr>
            <w:r>
              <w:rPr>
                <w:b/>
                <w:bCs/>
                <w:rtl/>
              </w:rPr>
              <w:t>نيسان (أبريل</w:t>
            </w:r>
            <w:r>
              <w:rPr>
                <w:b/>
                <w:bCs/>
              </w:rPr>
              <w:t>)</w:t>
            </w:r>
          </w:p>
        </w:tc>
        <w:tc>
          <w:tcPr>
            <w:tcW w:w="1872" w:type="dxa"/>
            <w:tcBorders/>
            <w:shd w:val="clear" w:color="auto" w:fill="auto"/>
            <w:tcMar>
              <w:top w:w="120" w:type="dxa"/>
              <w:left w:w="120" w:type="dxa"/>
              <w:bottom w:w="120" w:type="dxa"/>
              <w:right w:w="120" w:type="dxa"/>
            </w:tcMar>
          </w:tcPr>
          <w:p w14:paraId="742F5D56">
            <w:pPr>
              <w:pStyle w:val="style4098"/>
              <w:pBdr>
                <w:left w:val="nil"/>
                <w:right w:val="nil"/>
                <w:top w:val="nil"/>
                <w:bottom w:val="nil"/>
                <w:between w:val="nil"/>
              </w:pBdr>
              <w:bidi/>
              <w:rPr/>
            </w:pPr>
            <w:r>
              <w:rPr>
                <w:rtl/>
              </w:rPr>
              <w:t>مسابقة "ابتكار الحلول للتحديات المجتمعية</w:t>
            </w:r>
            <w:r>
              <w:t>"</w:t>
            </w:r>
          </w:p>
        </w:tc>
        <w:tc>
          <w:tcPr>
            <w:tcW w:w="1872" w:type="dxa"/>
            <w:tcBorders/>
            <w:shd w:val="clear" w:color="auto" w:fill="auto"/>
            <w:tcMar>
              <w:top w:w="120" w:type="dxa"/>
              <w:left w:w="120" w:type="dxa"/>
              <w:bottom w:w="120" w:type="dxa"/>
              <w:right w:w="120" w:type="dxa"/>
            </w:tcMar>
          </w:tcPr>
          <w:p w14:paraId="28A8E0A6">
            <w:pPr>
              <w:pStyle w:val="style4098"/>
              <w:pBdr>
                <w:left w:val="nil"/>
                <w:right w:val="nil"/>
                <w:top w:val="nil"/>
                <w:bottom w:val="nil"/>
                <w:between w:val="nil"/>
              </w:pBdr>
              <w:bidi/>
              <w:rPr/>
            </w:pPr>
            <w:r>
              <w:rPr>
                <w:rtl/>
              </w:rPr>
              <w:t>تقديم الطلبة لمشاريع وأفكار مبتكرة تُستبق وتُعالج مشكلات بيئية أو اجتماعية داخل المدرسة أو الحي</w:t>
            </w:r>
            <w:r>
              <w:t>.</w:t>
            </w:r>
          </w:p>
        </w:tc>
        <w:tc>
          <w:tcPr>
            <w:tcW w:w="1872" w:type="dxa"/>
            <w:tcBorders/>
            <w:shd w:val="clear" w:color="auto" w:fill="auto"/>
            <w:tcMar>
              <w:top w:w="120" w:type="dxa"/>
              <w:left w:w="120" w:type="dxa"/>
              <w:bottom w:w="120" w:type="dxa"/>
              <w:right w:w="120" w:type="dxa"/>
            </w:tcMar>
          </w:tcPr>
          <w:p w14:paraId="679DDB39">
            <w:pPr>
              <w:pStyle w:val="style4098"/>
              <w:pBdr>
                <w:left w:val="nil"/>
                <w:right w:val="nil"/>
                <w:top w:val="nil"/>
                <w:bottom w:val="nil"/>
                <w:between w:val="nil"/>
              </w:pBdr>
              <w:bidi/>
              <w:rPr/>
            </w:pPr>
            <w:r>
              <w:rPr>
                <w:rtl/>
              </w:rPr>
              <w:t>تقويم معتمد على الأداء (تقديم العروض) + سلم تقدير رقمي</w:t>
            </w:r>
            <w:r>
              <w:t>.</w:t>
            </w:r>
          </w:p>
        </w:tc>
        <w:tc>
          <w:tcPr>
            <w:tcW w:w="1872" w:type="dxa"/>
            <w:tcBorders/>
            <w:shd w:val="clear" w:color="auto" w:fill="auto"/>
            <w:tcMar>
              <w:top w:w="120" w:type="dxa"/>
              <w:left w:w="120" w:type="dxa"/>
              <w:bottom w:w="120" w:type="dxa"/>
              <w:right w:w="120" w:type="dxa"/>
            </w:tcMar>
          </w:tcPr>
          <w:p w14:paraId="B8112347">
            <w:pPr>
              <w:pStyle w:val="style4098"/>
              <w:pBdr>
                <w:left w:val="nil"/>
                <w:right w:val="nil"/>
                <w:top w:val="nil"/>
                <w:bottom w:val="nil"/>
                <w:between w:val="nil"/>
              </w:pBdr>
              <w:bidi/>
              <w:rPr/>
            </w:pPr>
            <w:r>
              <w:rPr>
                <w:rtl/>
              </w:rPr>
              <w:t>توفير وسائط متعددة لعرض الأفكار (نماذج مجسمة، نصوص، عروض مرئية</w:t>
            </w:r>
            <w:r>
              <w:t>).</w:t>
            </w:r>
          </w:p>
        </w:tc>
      </w:tr>
      <w:tr w14:paraId="36F1D442">
        <w:tblPrEx/>
        <w:trPr>
          <w:cantSplit/>
          <w:tblHeader/>
        </w:trPr>
        <w:tc>
          <w:tcPr>
            <w:tcW w:w="1872" w:type="dxa"/>
            <w:tcBorders/>
            <w:shd w:val="clear" w:color="auto" w:fill="auto"/>
            <w:tcMar>
              <w:top w:w="120" w:type="dxa"/>
              <w:left w:w="120" w:type="dxa"/>
              <w:bottom w:w="120" w:type="dxa"/>
              <w:right w:w="120" w:type="dxa"/>
            </w:tcMar>
          </w:tcPr>
          <w:p w14:paraId="308A8278">
            <w:pPr>
              <w:pStyle w:val="style4098"/>
              <w:pBdr>
                <w:left w:val="nil"/>
                <w:right w:val="nil"/>
                <w:top w:val="nil"/>
                <w:bottom w:val="nil"/>
                <w:between w:val="nil"/>
              </w:pBdr>
              <w:bidi/>
              <w:rPr>
                <w:b/>
                <w:bCs/>
              </w:rPr>
            </w:pPr>
            <w:r>
              <w:rPr>
                <w:b/>
                <w:bCs/>
                <w:rtl/>
              </w:rPr>
              <w:t>أيار (مايو</w:t>
            </w:r>
            <w:r>
              <w:rPr>
                <w:b/>
                <w:bCs/>
              </w:rPr>
              <w:t>)</w:t>
            </w:r>
          </w:p>
        </w:tc>
        <w:tc>
          <w:tcPr>
            <w:tcW w:w="1872" w:type="dxa"/>
            <w:tcBorders/>
            <w:shd w:val="clear" w:color="auto" w:fill="auto"/>
            <w:tcMar>
              <w:top w:w="120" w:type="dxa"/>
              <w:left w:w="120" w:type="dxa"/>
              <w:bottom w:w="120" w:type="dxa"/>
              <w:right w:w="120" w:type="dxa"/>
            </w:tcMar>
          </w:tcPr>
          <w:p w14:paraId="C148B8D2">
            <w:pPr>
              <w:pStyle w:val="style4098"/>
              <w:pBdr>
                <w:left w:val="nil"/>
                <w:right w:val="nil"/>
                <w:top w:val="nil"/>
                <w:bottom w:val="nil"/>
                <w:between w:val="nil"/>
              </w:pBdr>
              <w:bidi/>
              <w:rPr/>
            </w:pPr>
            <w:r>
              <w:rPr>
                <w:rtl/>
              </w:rPr>
              <w:t>المعرض السنوي للأنشطة والإنتاج التطوعي</w:t>
            </w:r>
          </w:p>
        </w:tc>
        <w:tc>
          <w:tcPr>
            <w:tcW w:w="1872" w:type="dxa"/>
            <w:tcBorders/>
            <w:shd w:val="clear" w:color="auto" w:fill="auto"/>
            <w:tcMar>
              <w:top w:w="120" w:type="dxa"/>
              <w:left w:w="120" w:type="dxa"/>
              <w:bottom w:w="120" w:type="dxa"/>
              <w:right w:w="120" w:type="dxa"/>
            </w:tcMar>
          </w:tcPr>
          <w:p w14:paraId="B05CCA5B">
            <w:pPr>
              <w:pStyle w:val="style4098"/>
              <w:pBdr>
                <w:left w:val="nil"/>
                <w:right w:val="nil"/>
                <w:top w:val="nil"/>
                <w:bottom w:val="nil"/>
                <w:between w:val="nil"/>
              </w:pBdr>
              <w:bidi/>
              <w:rPr/>
            </w:pPr>
            <w:r>
              <w:rPr>
                <w:rtl/>
              </w:rPr>
              <w:t>عرض إنتاجات الطلبة الفكرية والتطبيقية (مجسمات، صور، مجلات مدرسية، أعمال فنية) وتكريم المتطوعين</w:t>
            </w:r>
            <w:r>
              <w:t>.</w:t>
            </w:r>
          </w:p>
        </w:tc>
        <w:tc>
          <w:tcPr>
            <w:tcW w:w="1872" w:type="dxa"/>
            <w:tcBorders/>
            <w:shd w:val="clear" w:color="auto" w:fill="auto"/>
            <w:tcMar>
              <w:top w:w="120" w:type="dxa"/>
              <w:left w:w="120" w:type="dxa"/>
              <w:bottom w:w="120" w:type="dxa"/>
              <w:right w:w="120" w:type="dxa"/>
            </w:tcMar>
          </w:tcPr>
          <w:p w14:paraId="EE78C226">
            <w:pPr>
              <w:pStyle w:val="style4098"/>
              <w:pBdr>
                <w:left w:val="nil"/>
                <w:right w:val="nil"/>
                <w:top w:val="nil"/>
                <w:bottom w:val="nil"/>
                <w:between w:val="nil"/>
              </w:pBdr>
              <w:bidi/>
              <w:rPr/>
            </w:pPr>
            <w:r>
              <w:rPr>
                <w:rtl/>
              </w:rPr>
              <w:t>معرض الأنشطة والتواصل + سجل سير تعلم الطا</w:t>
            </w:r>
            <w:r>
              <w:rPr>
                <w:rtl/>
              </w:rPr>
              <w:t>لب</w:t>
            </w:r>
            <w:r>
              <w:t>.</w:t>
            </w:r>
          </w:p>
        </w:tc>
        <w:tc>
          <w:tcPr>
            <w:tcW w:w="1872" w:type="dxa"/>
            <w:tcBorders/>
            <w:shd w:val="clear" w:color="auto" w:fill="auto"/>
            <w:tcMar>
              <w:top w:w="120" w:type="dxa"/>
              <w:left w:w="120" w:type="dxa"/>
              <w:bottom w:w="120" w:type="dxa"/>
              <w:right w:w="120" w:type="dxa"/>
            </w:tcMar>
          </w:tcPr>
          <w:p w14:paraId="F0F1C7D3">
            <w:pPr>
              <w:pStyle w:val="style4098"/>
              <w:pBdr>
                <w:left w:val="nil"/>
                <w:right w:val="nil"/>
                <w:top w:val="nil"/>
                <w:bottom w:val="nil"/>
                <w:between w:val="nil"/>
              </w:pBdr>
              <w:bidi/>
              <w:rPr/>
            </w:pPr>
            <w:r>
              <w:rPr>
                <w:rtl/>
              </w:rPr>
              <w:t>تهيئة القاعة والمعروضات حسياً وحركياً لتناسب جميع الطلبة والزوار من ذوي الإعاقة</w:t>
            </w:r>
            <w:r>
              <w:t>.</w:t>
            </w:r>
          </w:p>
        </w:tc>
      </w:tr>
    </w:tbl>
    <w:p w14:paraId="71FEFC02">
      <w:pPr>
        <w:pStyle w:val="style4098"/>
        <w:pBdr>
          <w:left w:val="nil"/>
          <w:right w:val="nil"/>
          <w:top w:val="nil"/>
          <w:bottom w:val="nil"/>
          <w:between w:val="nil"/>
        </w:pBdr>
        <w:bidi/>
        <w:spacing w:after="225"/>
        <w:rPr/>
      </w:pPr>
    </w:p>
    <w:p w14:paraId="A8E2416E">
      <w:pPr>
        <w:pStyle w:val="style2"/>
        <w:bidi/>
        <w:rPr/>
      </w:pPr>
      <w:r>
        <w:rPr>
          <w:rtl/>
        </w:rPr>
        <w:t>استراتيجيات التقويم وأدواته المعتمدة</w:t>
      </w:r>
    </w:p>
    <w:p w14:paraId="5F0D2E4A">
      <w:pPr>
        <w:pStyle w:val="style4098"/>
        <w:numPr>
          <w:ilvl w:val="0"/>
          <w:numId w:val="2"/>
        </w:numPr>
        <w:pBdr>
          <w:left w:val="nil"/>
          <w:right w:val="nil"/>
          <w:top w:val="nil"/>
          <w:bottom w:val="nil"/>
          <w:between w:val="nil"/>
        </w:pBdr>
        <w:bidi/>
        <w:rPr/>
      </w:pPr>
      <w:r>
        <w:rPr>
          <w:b/>
          <w:bCs/>
          <w:rtl/>
        </w:rPr>
        <w:t>التقويم المعتمد على الأداء</w:t>
      </w:r>
      <w:r>
        <w:rPr>
          <w:b/>
          <w:bCs/>
        </w:rPr>
        <w:t>:</w:t>
      </w:r>
      <w:r>
        <w:t xml:space="preserve"> </w:t>
      </w:r>
      <w:r>
        <w:rPr>
          <w:rtl/>
        </w:rPr>
        <w:t>يشمل الأداء العملي، المحاكاة ولعب الأدوار، تقديم العروض التوضيحية، وسرد القصص المدرسية</w:t>
      </w:r>
      <w:r>
        <w:t>.</w:t>
      </w:r>
    </w:p>
    <w:p w14:paraId="A6A26978">
      <w:pPr>
        <w:pStyle w:val="style4098"/>
        <w:numPr>
          <w:ilvl w:val="0"/>
          <w:numId w:val="2"/>
        </w:numPr>
        <w:pBdr>
          <w:left w:val="nil"/>
          <w:right w:val="nil"/>
          <w:top w:val="nil"/>
          <w:bottom w:val="nil"/>
          <w:between w:val="nil"/>
        </w:pBdr>
        <w:bidi/>
        <w:rPr/>
      </w:pPr>
      <w:r>
        <w:rPr>
          <w:b/>
          <w:bCs/>
          <w:rtl/>
        </w:rPr>
        <w:t>التقويم بالتواصل</w:t>
      </w:r>
      <w:r>
        <w:rPr>
          <w:b/>
          <w:bCs/>
        </w:rPr>
        <w:t>:</w:t>
      </w:r>
      <w:r>
        <w:t xml:space="preserve"> </w:t>
      </w:r>
      <w:r>
        <w:rPr>
          <w:rtl/>
        </w:rPr>
        <w:t>يتضمن المقابلات الفردية والجماعية، وحلقات الأسئلة والأجوبة مع المعلمين والمعلمات والمؤسسات</w:t>
      </w:r>
      <w:r>
        <w:t>.</w:t>
      </w:r>
    </w:p>
    <w:p w14:paraId="EBA05437">
      <w:pPr>
        <w:pStyle w:val="style4098"/>
        <w:numPr>
          <w:ilvl w:val="0"/>
          <w:numId w:val="2"/>
        </w:numPr>
        <w:pBdr>
          <w:left w:val="nil"/>
          <w:right w:val="nil"/>
          <w:top w:val="nil"/>
          <w:bottom w:val="nil"/>
          <w:between w:val="nil"/>
        </w:pBdr>
        <w:bidi/>
        <w:rPr/>
      </w:pPr>
      <w:r>
        <w:rPr>
          <w:b/>
          <w:bCs/>
          <w:rtl/>
        </w:rPr>
        <w:t>استراتيجية الملاحظة</w:t>
      </w:r>
      <w:r>
        <w:rPr>
          <w:b/>
          <w:bCs/>
        </w:rPr>
        <w:t>:</w:t>
      </w:r>
      <w:r>
        <w:t xml:space="preserve"> </w:t>
      </w:r>
      <w:r>
        <w:rPr>
          <w:rtl/>
        </w:rPr>
        <w:t>المراقبة المستمرة لسلوكيات الطلبة وتفاعلاتهم وتطور اتجاهاتهم نحو العمل التطوعي</w:t>
      </w:r>
      <w:r>
        <w:t>.</w:t>
      </w:r>
    </w:p>
    <w:p w14:paraId="2BDB4C97">
      <w:pPr>
        <w:pStyle w:val="style4098"/>
        <w:numPr>
          <w:ilvl w:val="0"/>
          <w:numId w:val="2"/>
        </w:numPr>
        <w:pBdr>
          <w:left w:val="nil"/>
          <w:right w:val="nil"/>
          <w:top w:val="nil"/>
          <w:bottom w:val="nil"/>
          <w:between w:val="nil"/>
        </w:pBdr>
        <w:bidi/>
        <w:rPr/>
      </w:pPr>
      <w:r>
        <w:rPr>
          <w:b/>
          <w:bCs/>
          <w:rtl/>
        </w:rPr>
        <w:t>استراتيجية مراجعة الذات</w:t>
      </w:r>
      <w:r>
        <w:rPr>
          <w:b/>
          <w:bCs/>
        </w:rPr>
        <w:t>:</w:t>
      </w:r>
      <w:r>
        <w:t xml:space="preserve"> </w:t>
      </w:r>
      <w:r>
        <w:rPr>
          <w:rtl/>
        </w:rPr>
        <w:t>توثيق مذكرات الطلبة، ملف الإنجاز</w:t>
      </w:r>
      <w:r>
        <w:t xml:space="preserve"> (</w:t>
      </w:r>
      <w:r>
        <w:t>Portfolio)</w:t>
      </w:r>
      <w:r>
        <w:rPr>
          <w:rtl/>
        </w:rPr>
        <w:t>،</w:t>
      </w:r>
      <w:r>
        <w:t xml:space="preserve"> </w:t>
      </w:r>
      <w:r>
        <w:rPr>
          <w:rtl/>
        </w:rPr>
        <w:t>والأسئلة التأملية والتقويم الذاتي</w:t>
      </w:r>
      <w:r>
        <w:t>.</w:t>
      </w:r>
    </w:p>
    <w:p w14:paraId="D9BC2DF2">
      <w:pPr>
        <w:pStyle w:val="style4098"/>
        <w:numPr>
          <w:ilvl w:val="0"/>
          <w:numId w:val="2"/>
        </w:numPr>
        <w:pBdr>
          <w:left w:val="nil"/>
          <w:right w:val="nil"/>
          <w:top w:val="nil"/>
          <w:bottom w:val="nil"/>
          <w:between w:val="nil"/>
        </w:pBdr>
        <w:bidi/>
        <w:rPr/>
      </w:pPr>
      <w:r>
        <w:rPr>
          <w:b/>
          <w:bCs/>
          <w:rtl/>
        </w:rPr>
        <w:t>أدوات القياس والتقويم</w:t>
      </w:r>
      <w:r>
        <w:rPr>
          <w:b/>
          <w:bCs/>
        </w:rPr>
        <w:t>:</w:t>
      </w:r>
      <w:r>
        <w:t xml:space="preserve"> </w:t>
      </w:r>
      <w:r>
        <w:rPr>
          <w:rtl/>
        </w:rPr>
        <w:t>قوائم الرصد والشطب، سلالم التقدير اللفظية والرقمية، السجل القصصي للمعلم، وسجل سير التعلم للطالب</w:t>
      </w:r>
      <w:r>
        <w:t>.</w:t>
      </w:r>
    </w:p>
    <w:p w14:paraId="30C25D93">
      <w:pPr>
        <w:pStyle w:val="style2"/>
        <w:bidi/>
        <w:rPr/>
      </w:pPr>
      <w:r>
        <w:rPr>
          <w:rtl/>
        </w:rPr>
        <w:t>تأمين متطلبات الشمول ودمج ذوي الإعاقة</w:t>
      </w:r>
    </w:p>
    <w:p w14:paraId="50434FA1">
      <w:pPr>
        <w:pStyle w:val="style4098"/>
        <w:pBdr>
          <w:left w:val="nil"/>
          <w:right w:val="nil"/>
          <w:top w:val="nil"/>
          <w:bottom w:val="nil"/>
          <w:between w:val="nil"/>
        </w:pBdr>
        <w:bidi/>
        <w:rPr/>
      </w:pPr>
      <w:r>
        <w:rPr>
          <w:rtl/>
        </w:rPr>
        <w:t>حرصاً على تطبيق مبدأ الشمول وتكافؤ الفرص، يتم دعم و</w:t>
      </w:r>
      <w:r>
        <w:rPr>
          <w:rtl/>
        </w:rPr>
        <w:t>تكيف الأنشطة التطوعية من خلال</w:t>
      </w:r>
      <w:r>
        <w:t>:</w:t>
      </w:r>
    </w:p>
    <w:p w14:paraId="6E4F71DD">
      <w:pPr>
        <w:pStyle w:val="style4098"/>
        <w:numPr>
          <w:ilvl w:val="0"/>
          <w:numId w:val="3"/>
        </w:numPr>
        <w:pBdr>
          <w:left w:val="nil"/>
          <w:right w:val="nil"/>
          <w:top w:val="nil"/>
          <w:bottom w:val="nil"/>
          <w:between w:val="nil"/>
        </w:pBdr>
        <w:bidi/>
        <w:rPr/>
      </w:pPr>
      <w:r>
        <w:rPr>
          <w:rtl/>
        </w:rPr>
        <w:t>توفير أدوات ومواد تعليمية وتكنولوجية مساعدة تضمن المشاركة الكاملة للطلبة ذوي الإعاقة</w:t>
      </w:r>
      <w:r>
        <w:t>.</w:t>
      </w:r>
    </w:p>
    <w:p w14:paraId="6F737F8B">
      <w:pPr>
        <w:pStyle w:val="style4098"/>
        <w:numPr>
          <w:ilvl w:val="0"/>
          <w:numId w:val="3"/>
        </w:numPr>
        <w:pBdr>
          <w:left w:val="nil"/>
          <w:right w:val="nil"/>
          <w:top w:val="nil"/>
          <w:bottom w:val="nil"/>
          <w:between w:val="nil"/>
        </w:pBdr>
        <w:bidi/>
        <w:rPr/>
      </w:pPr>
      <w:r>
        <w:rPr>
          <w:rtl/>
        </w:rPr>
        <w:t>تهيئة البنية التحتية والمكانية للأنشطة الميدانية والزيارات والمعارض</w:t>
      </w:r>
      <w:r>
        <w:t>.</w:t>
      </w:r>
    </w:p>
    <w:p w14:paraId="4B232B08">
      <w:pPr>
        <w:pStyle w:val="style0"/>
        <w:bidi/>
        <w:jc w:val="center"/>
        <w:rPr>
          <w:rFonts w:ascii="Microsoft Sans Serif" w:cs="Microsoft Sans Serif" w:hAnsi="Microsoft Sans Serif"/>
          <w:b/>
          <w:bCs/>
          <w:sz w:val="28"/>
          <w:szCs w:val="28"/>
          <w:lang w:bidi="ar-JO"/>
        </w:rPr>
      </w:pPr>
      <w:r>
        <w:rPr>
          <w:rtl/>
        </w:rPr>
        <w:t xml:space="preserve">تعزيز قيم التآخي والعمل الجماعي والابتعاد عن أي تمييز، وتشجيع التنافس </w:t>
      </w:r>
      <w:r>
        <w:rPr>
          <w:rtl/>
        </w:rPr>
        <w:t>الإيجابي والأخلاقي بين الأقران</w:t>
      </w:r>
      <w:r>
        <w:t>.</w:t>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p>
    <w:p w14:paraId="FEE43E80">
      <w:pPr>
        <w:pStyle w:val="style0"/>
        <w:bidi/>
        <w:jc w:val="center"/>
        <w:rPr>
          <w:rFonts w:ascii="Microsoft Sans Serif" w:cs="Microsoft Sans Serif" w:eastAsia="Times New Roman" w:hAnsi="Microsoft Sans Serif"/>
          <w:b/>
          <w:bCs/>
          <w:sz w:val="36"/>
          <w:szCs w:val="36"/>
          <w:rtl/>
          <w:lang w:bidi="ar-JO"/>
        </w:rPr>
      </w:pPr>
      <w:r>
        <w:rPr>
          <w:rFonts w:ascii="Microsoft Sans Serif" w:cs="Microsoft Sans Serif" w:eastAsia="Times New Roman" w:hAnsi="Microsoft Sans Serif"/>
          <w:b/>
          <w:bCs/>
          <w:noProof/>
          <w:sz w:val="36"/>
          <w:szCs w:val="36"/>
        </w:rPr>
        <w:drawing>
          <wp:inline distL="0" distT="0" distB="0" distR="0">
            <wp:extent cx="1027435" cy="1005204"/>
            <wp:effectExtent l="19050" t="0" r="1265" b="0"/>
            <wp:docPr id="1027" name="صورة 1" descr="c092fb2419d12c1038bb88a0827ff1a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صورة 1"/>
                    <pic:cNvPicPr/>
                  </pic:nvPicPr>
                  <pic:blipFill>
                    <a:blip r:embed="rId2" cstate="print"/>
                    <a:srcRect l="0" t="0" r="0" b="0"/>
                    <a:stretch/>
                  </pic:blipFill>
                  <pic:spPr>
                    <a:xfrm rot="0">
                      <a:off x="0" y="0"/>
                      <a:ext cx="1027435" cy="1005204"/>
                    </a:xfrm>
                    <a:prstGeom prst="rect"/>
                    <a:ln>
                      <a:noFill/>
                    </a:ln>
                  </pic:spPr>
                </pic:pic>
              </a:graphicData>
            </a:graphic>
          </wp:inline>
        </w:drawing>
      </w:r>
    </w:p>
    <w:p w14:paraId="A112E974">
      <w:pPr>
        <w:pStyle w:val="style0"/>
        <w:bidi/>
        <w:jc w:val="center"/>
        <w:rPr>
          <w:rFonts w:ascii="Times New Roman" w:cs="Times New Roman" w:eastAsia="Times New Roman" w:hAnsi="Times New Roman"/>
          <w:b/>
          <w:bCs/>
          <w:sz w:val="40"/>
          <w:szCs w:val="40"/>
          <w:rtl/>
          <w:lang w:bidi="ar-JO"/>
        </w:rPr>
      </w:pPr>
      <w:r>
        <w:rPr>
          <w:rFonts w:ascii="Times New Roman" w:cs="Times New Roman" w:eastAsia="Times New Roman" w:hAnsi="Times New Roman"/>
          <w:b/>
          <w:bCs/>
          <w:sz w:val="40"/>
          <w:szCs w:val="40"/>
          <w:rtl/>
          <w:lang w:bidi="ar-JO"/>
        </w:rPr>
        <w:t xml:space="preserve">بسم الله الرحمن الرحيم </w:t>
      </w:r>
    </w:p>
    <w:p w14:paraId="3EDF345B">
      <w:pPr>
        <w:pStyle w:val="style0"/>
        <w:bidi/>
        <w:jc w:val="center"/>
        <w:rPr>
          <w:rFonts w:ascii="Times New Roman" w:cs="Times New Roman" w:eastAsia="Times New Roman" w:hAnsi="Times New Roman"/>
          <w:b/>
          <w:bCs/>
          <w:color w:val="ff0000"/>
          <w:sz w:val="40"/>
          <w:szCs w:val="40"/>
          <w:u w:val="single"/>
          <w:rtl/>
          <w:lang w:bidi="ar-JO"/>
        </w:rPr>
      </w:pPr>
      <w:r>
        <w:rPr>
          <w:rFonts w:ascii="Times New Roman" w:cs="Times New Roman" w:eastAsia="Times New Roman" w:hAnsi="Times New Roman"/>
          <w:b/>
          <w:bCs/>
          <w:color w:val="ff0000"/>
          <w:sz w:val="40"/>
          <w:szCs w:val="40"/>
          <w:u w:val="single"/>
          <w:rtl/>
          <w:lang w:bidi="ar-JO"/>
        </w:rPr>
        <w:t xml:space="preserve">لطفا الرجاء الانتباه </w:t>
      </w:r>
    </w:p>
    <w:p w14:paraId="89C73DD0">
      <w:pPr>
        <w:pStyle w:val="style0"/>
        <w:bidi/>
        <w:jc w:val="center"/>
        <w:rPr>
          <w:rFonts w:ascii="Times New Roman" w:cs="Times New Roman" w:eastAsia="Times New Roman" w:hAnsi="Times New Roman"/>
          <w:b/>
          <w:bCs/>
          <w:sz w:val="40"/>
          <w:szCs w:val="40"/>
          <w:lang w:bidi="ar-JO"/>
        </w:rPr>
      </w:pPr>
    </w:p>
    <w:p w14:paraId="9228BCFF">
      <w:pPr>
        <w:pStyle w:val="style0"/>
        <w:bidi/>
        <w:jc w:val="center"/>
        <w:rPr>
          <w:rFonts w:ascii="Times New Roman" w:cs="Times New Roman" w:eastAsia="Times New Roman" w:hAnsi="Times New Roman"/>
          <w:b/>
          <w:bCs/>
          <w:sz w:val="40"/>
          <w:szCs w:val="40"/>
          <w:rtl/>
          <w:lang w:bidi="ar-JO"/>
        </w:rPr>
      </w:pPr>
      <w:r>
        <w:rPr>
          <w:rFonts w:ascii="Times New Roman" w:cs="Times New Roman" w:eastAsia="Times New Roman" w:hAnsi="Times New Roman"/>
          <w:b/>
          <w:bCs/>
          <w:sz w:val="40"/>
          <w:szCs w:val="40"/>
          <w:rtl/>
          <w:lang w:bidi="ar-JO"/>
        </w:rPr>
        <w:t xml:space="preserve">هذا العمل حصري لدى موقع الايمان التعليمي </w:t>
      </w:r>
    </w:p>
    <w:p w14:paraId="7BABF8DD">
      <w:pPr>
        <w:pStyle w:val="style0"/>
        <w:bidi/>
        <w:jc w:val="center"/>
        <w:rPr>
          <w:rFonts w:ascii="Times New Roman" w:cs="Times New Roman" w:eastAsia="Times New Roman" w:hAnsi="Times New Roman" w:hint="cs"/>
          <w:b/>
          <w:bCs/>
          <w:sz w:val="40"/>
          <w:szCs w:val="40"/>
          <w:rtl/>
          <w:lang w:bidi="ar-JO"/>
        </w:rPr>
      </w:pPr>
      <w:r>
        <w:rPr>
          <w:rFonts w:ascii="Times New Roman" w:cs="Times New Roman" w:eastAsia="Times New Roman" w:hAnsi="Times New Roman"/>
          <w:b/>
          <w:bCs/>
          <w:sz w:val="40"/>
          <w:szCs w:val="40"/>
          <w:lang w:bidi="ar-JO"/>
        </w:rPr>
        <w:t>(</w:t>
      </w:r>
      <w:r>
        <w:rPr>
          <w:rFonts w:ascii="Times New Roman" w:cs="Times New Roman" w:eastAsia="Times New Roman" w:hAnsi="Times New Roman"/>
          <w:b/>
          <w:bCs/>
          <w:color w:val="0000ff"/>
          <w:sz w:val="40"/>
          <w:szCs w:val="40"/>
          <w:lang w:bidi="ar-JO"/>
        </w:rPr>
        <w:t>www.</w:t>
      </w:r>
      <w:r>
        <w:rPr>
          <w:rFonts w:ascii="Times New Roman" w:cs="Times New Roman" w:eastAsia="Times New Roman" w:hAnsi="Times New Roman"/>
          <w:color w:val="0000ff"/>
          <w:sz w:val="28"/>
          <w:szCs w:val="28"/>
        </w:rPr>
        <w:t xml:space="preserve"> </w:t>
      </w:r>
      <w:r>
        <w:rPr>
          <w:rFonts w:ascii="Times New Roman" w:cs="Times New Roman" w:eastAsia="Times New Roman" w:hAnsi="Times New Roman"/>
          <w:b/>
          <w:bCs/>
          <w:color w:val="0000ff"/>
          <w:sz w:val="40"/>
          <w:szCs w:val="40"/>
          <w:lang w:bidi="ar-JO"/>
        </w:rPr>
        <w:t>imanjo.com</w:t>
      </w:r>
      <w:r>
        <w:rPr>
          <w:rFonts w:ascii="Times New Roman" w:cs="Times New Roman" w:eastAsia="Times New Roman" w:hAnsi="Times New Roman"/>
          <w:b/>
          <w:bCs/>
          <w:sz w:val="40"/>
          <w:szCs w:val="40"/>
          <w:lang w:bidi="ar-JO"/>
        </w:rPr>
        <w:t xml:space="preserve">) </w:t>
      </w:r>
    </w:p>
    <w:p w14:paraId="B2231916">
      <w:pPr>
        <w:pStyle w:val="style0"/>
        <w:bidi/>
        <w:jc w:val="center"/>
        <w:rPr>
          <w:rFonts w:ascii="Times New Roman" w:cs="Times New Roman" w:eastAsia="Times New Roman" w:hAnsi="Times New Roman" w:hint="cs"/>
          <w:b/>
          <w:bCs/>
          <w:sz w:val="40"/>
          <w:szCs w:val="40"/>
          <w:rtl/>
          <w:lang w:bidi="ar-JO"/>
        </w:rPr>
      </w:pPr>
    </w:p>
    <w:p w14:paraId="93FDC809">
      <w:pPr>
        <w:pStyle w:val="style0"/>
        <w:bidi/>
        <w:jc w:val="center"/>
        <w:rPr>
          <w:rFonts w:ascii="Times New Roman" w:cs="Times New Roman" w:eastAsia="Times New Roman" w:hAnsi="Times New Roman"/>
          <w:b/>
          <w:bCs/>
          <w:sz w:val="40"/>
          <w:szCs w:val="40"/>
          <w:lang w:bidi="ar-JO"/>
        </w:rPr>
      </w:pPr>
      <w:r>
        <w:rPr>
          <w:rFonts w:ascii="Times New Roman" w:cs="Times New Roman" w:eastAsia="Times New Roman" w:hAnsi="Times New Roman"/>
          <w:b/>
          <w:bCs/>
          <w:sz w:val="40"/>
          <w:szCs w:val="40"/>
          <w:rtl/>
          <w:lang w:bidi="ar-JO"/>
        </w:rPr>
        <w:t xml:space="preserve">وهو متاح لجميع الاعضاء والزوار بنسخته المجانية ويمنع النقل من قبل اي موقع تعليمي اخر وتحت طائلة المسؤولية. </w:t>
      </w:r>
    </w:p>
    <w:p w14:paraId="1FC031EE">
      <w:pPr>
        <w:pStyle w:val="style0"/>
        <w:bidi/>
        <w:rPr>
          <w:rFonts w:ascii="Times New Roman" w:cs="Times New Roman" w:eastAsia="Times New Roman" w:hAnsi="Times New Roman"/>
          <w:b/>
          <w:bCs/>
          <w:sz w:val="40"/>
          <w:szCs w:val="40"/>
          <w:rtl/>
          <w:lang w:bidi="ar-JO"/>
        </w:rPr>
      </w:pPr>
    </w:p>
    <w:p w14:paraId="B5EE4C52">
      <w:pPr>
        <w:pStyle w:val="style0"/>
        <w:bidi/>
        <w:jc w:val="center"/>
        <w:rPr>
          <w:rFonts w:ascii="Microsoft Sans Serif" w:cs="Microsoft Sans Serif" w:eastAsia="Times New Roman" w:hAnsi="Microsoft Sans Serif"/>
          <w:b/>
          <w:bCs/>
          <w:sz w:val="32"/>
          <w:szCs w:val="32"/>
          <w:rtl/>
          <w:lang w:bidi="ar-JO"/>
        </w:rPr>
      </w:pPr>
    </w:p>
    <w:p w14:paraId="EE58CDA0">
      <w:pPr>
        <w:pStyle w:val="style0"/>
        <w:pBdr>
          <w:left w:val="double" w:sz="4" w:space="4" w:color="auto"/>
          <w:right w:val="double" w:sz="4" w:space="4" w:color="auto"/>
          <w:top w:val="double" w:sz="4" w:space="1" w:color="auto"/>
          <w:bottom w:val="double" w:sz="4" w:space="1" w:color="auto"/>
        </w:pBdr>
        <w:shd w:val="clear" w:color="auto" w:fill="eaf1dd"/>
        <w:bidi/>
        <w:jc w:val="center"/>
        <w:rPr>
          <w:rFonts w:ascii="Times New Roman" w:cs="Times New Roman" w:eastAsia="Times New Roman" w:hAnsi="Times New Roman"/>
          <w:b/>
          <w:bCs/>
          <w:sz w:val="44"/>
          <w:szCs w:val="44"/>
          <w:rtl/>
          <w:lang w:bidi="ar-JO"/>
        </w:rPr>
      </w:pPr>
      <w:r>
        <w:rPr>
          <w:rFonts w:ascii="Times New Roman" w:cs="Times New Roman" w:eastAsia="Times New Roman" w:hAnsi="Times New Roman"/>
          <w:b/>
          <w:bCs/>
          <w:sz w:val="44"/>
          <w:szCs w:val="44"/>
          <w:rtl/>
          <w:lang w:bidi="ar-JO"/>
        </w:rPr>
        <w:t xml:space="preserve">اعداد فريق موقع الايمان </w:t>
      </w:r>
    </w:p>
    <w:p w14:paraId="5FDEE04E">
      <w:pPr>
        <w:pStyle w:val="style0"/>
        <w:bidi/>
        <w:jc w:val="center"/>
        <w:rPr>
          <w:rFonts w:ascii="Microsoft Sans Serif" w:cs="Microsoft Sans Serif" w:hAnsi="Microsoft Sans Serif"/>
          <w:b/>
          <w:bCs/>
          <w:sz w:val="28"/>
          <w:szCs w:val="28"/>
          <w:rtl/>
          <w:lang w:bidi="ar-JO"/>
        </w:rPr>
      </w:pPr>
    </w:p>
    <w:p w14:paraId="A39DC932">
      <w:pPr>
        <w:pStyle w:val="style0"/>
        <w:bidi/>
        <w:jc w:val="center"/>
        <w:rPr>
          <w:rFonts w:ascii="Microsoft Sans Serif" w:cs="Microsoft Sans Serif" w:hAnsi="Microsoft Sans Serif"/>
          <w:b/>
          <w:bCs/>
          <w:sz w:val="28"/>
          <w:szCs w:val="28"/>
          <w:rtl/>
          <w:lang w:bidi="ar-JO"/>
        </w:rPr>
      </w:pPr>
    </w:p>
    <w:p w14:paraId="FD855969">
      <w:pPr>
        <w:pStyle w:val="style4098"/>
        <w:pBdr>
          <w:left w:val="nil"/>
          <w:right w:val="nil"/>
          <w:top w:val="nil"/>
          <w:bottom w:val="nil"/>
          <w:between w:val="nil"/>
        </w:pBdr>
        <w:bidi/>
        <w:ind w:left="600"/>
        <w:rPr/>
      </w:pPr>
    </w:p>
    <w:sectPr>
      <w:footerReference w:type="default" r:id="rId3"/>
      <w:pgSz w:w="12240" w:h="15840" w:orient="portrait"/>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Arial"/>
    <w:panose1 w:val="020b0604020002020204"/>
    <w:charset w:val="00"/>
    <w:family w:val="swiss"/>
    <w:pitch w:val="variable"/>
    <w:sig w:usb0="E0002EFF" w:usb1="C000785B" w:usb2="00000009" w:usb3="00000000" w:csb0="000001FF" w:csb1="00000000"/>
  </w:font>
  <w:font w:name="Times New Roman">
    <w:altName w:val="Times New Roman"/>
    <w:panose1 w:val="02020603050004020304"/>
    <w:charset w:val="00"/>
    <w:family w:val="roman"/>
    <w:pitch w:val="variable"/>
    <w:sig w:usb0="E0002EFF" w:usb1="C000785B" w:usb2="00000009" w:usb3="00000000" w:csb0="000001FF" w:csb1="00000000"/>
  </w:font>
  <w:font w:name="Georgia">
    <w:altName w:val="Georgia"/>
    <w:panose1 w:val="02040502050004020303"/>
    <w:charset w:val="00"/>
    <w:family w:val="auto"/>
    <w:pitch w:val="default"/>
    <w:sig w:usb0="00000000" w:usb1="00000000" w:usb2="00000000" w:usb3="00000000" w:csb0="00000000" w:csb1="00000000"/>
  </w:font>
  <w:font w:name="Tahoma">
    <w:altName w:val="Tahoma"/>
    <w:panose1 w:val="020b0604030005040204"/>
    <w:charset w:val="00"/>
    <w:family w:val="swiss"/>
    <w:pitch w:val="variable"/>
    <w:sig w:usb0="E1002EFF" w:usb1="C000605B" w:usb2="00000029" w:usb3="00000000" w:csb0="000101FF" w:csb1="00000000"/>
  </w:font>
  <w:font w:name="Microsoft Sans Serif">
    <w:altName w:val="Microsoft Sans Serif"/>
    <w:panose1 w:val="020b0604020002020204"/>
    <w:charset w:val="00"/>
    <w:family w:val="swiss"/>
    <w:pitch w:val="variable"/>
    <w:sig w:usb0="E5002EFF" w:usb1="C000605B" w:usb2="00000029" w:usb3="00000000" w:csb0="000101FF" w:csb1="00000000"/>
  </w:font>
  <w:font w:name="Calibri">
    <w:altName w:val="Calibri"/>
    <w:panose1 w:val="020f0502020002030204"/>
    <w:charset w:val="00"/>
    <w:family w:val="swiss"/>
    <w:pitch w:val="variable"/>
    <w:sig w:usb0="E4002EFF" w:usb1="C000247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5D8E9EB5">
    <w:pPr>
      <w:pStyle w:val="style32"/>
      <w:jc w:val="right"/>
      <w:rPr>
        <w:rFonts w:hint="cs"/>
        <w:color w:val="ff0000"/>
        <w:lang w:bidi="ar-JO"/>
      </w:rPr>
    </w:pPr>
    <w:r>
      <w:rPr>
        <w:rFonts w:hint="cs"/>
        <w:color w:val="ff0000"/>
        <w:rtl/>
        <w:lang w:bidi="ar-JO"/>
      </w:rPr>
      <w:t>اعداد وتنسيق موقع الايمان التعليمي</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AEEAE28E"/>
    <w:lvl w:ilvl="0">
      <w:start w:val="1"/>
      <w:numFmt w:val="bullet"/>
      <w:lvlText w:val="●"/>
      <w:lvlJc w:val="left"/>
      <w:pPr>
        <w:ind w:left="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1">
      <w:start w:val="1"/>
      <w:numFmt w:val="bullet"/>
      <w:lvlText w:val="○"/>
      <w:lvlJc w:val="left"/>
      <w:pPr>
        <w:ind w:left="14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2">
      <w:start w:val="1"/>
      <w:numFmt w:val="bullet"/>
      <w:lvlText w:val="■"/>
      <w:lvlJc w:val="left"/>
      <w:pPr>
        <w:ind w:left="21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3">
      <w:start w:val="1"/>
      <w:numFmt w:val="bullet"/>
      <w:lvlText w:val="■"/>
      <w:lvlJc w:val="left"/>
      <w:pPr>
        <w:ind w:left="28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4">
      <w:start w:val="1"/>
      <w:numFmt w:val="bullet"/>
      <w:lvlText w:val="■"/>
      <w:lvlJc w:val="left"/>
      <w:pPr>
        <w:ind w:left="3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5">
      <w:start w:val="1"/>
      <w:numFmt w:val="bullet"/>
      <w:lvlText w:val="■"/>
      <w:lvlJc w:val="left"/>
      <w:pPr>
        <w:ind w:left="432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6">
      <w:start w:val="1"/>
      <w:numFmt w:val="bullet"/>
      <w:lvlText w:val="■"/>
      <w:lvlJc w:val="left"/>
      <w:pPr>
        <w:ind w:left="50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7">
      <w:start w:val="1"/>
      <w:numFmt w:val="bullet"/>
      <w:lvlText w:val="■"/>
      <w:lvlJc w:val="left"/>
      <w:pPr>
        <w:ind w:left="57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8">
      <w:start w:val="1"/>
      <w:numFmt w:val="bullet"/>
      <w:lvlText w:val="■"/>
      <w:lvlJc w:val="left"/>
      <w:pPr>
        <w:ind w:left="64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abstractNum>
  <w:abstractNum w:abstractNumId="1">
    <w:nsid w:val="00000001"/>
    <w:multiLevelType w:val="multilevel"/>
    <w:tmpl w:val="643CDDEC"/>
    <w:lvl w:ilvl="0">
      <w:start w:val="1"/>
      <w:numFmt w:val="decimal"/>
      <w:lvlText w:val="%1."/>
      <w:lvlJc w:val="left"/>
      <w:pPr>
        <w:ind w:left="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1">
      <w:start w:val="1"/>
      <w:numFmt w:val="bullet"/>
      <w:lvlText w:val="○"/>
      <w:lvlJc w:val="left"/>
      <w:pPr>
        <w:ind w:left="14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2">
      <w:start w:val="1"/>
      <w:numFmt w:val="bullet"/>
      <w:lvlText w:val="■"/>
      <w:lvlJc w:val="left"/>
      <w:pPr>
        <w:ind w:left="21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3">
      <w:start w:val="1"/>
      <w:numFmt w:val="bullet"/>
      <w:lvlText w:val="■"/>
      <w:lvlJc w:val="left"/>
      <w:pPr>
        <w:ind w:left="28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4">
      <w:start w:val="1"/>
      <w:numFmt w:val="bullet"/>
      <w:lvlText w:val="■"/>
      <w:lvlJc w:val="left"/>
      <w:pPr>
        <w:ind w:left="3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5">
      <w:start w:val="1"/>
      <w:numFmt w:val="bullet"/>
      <w:lvlText w:val="■"/>
      <w:lvlJc w:val="left"/>
      <w:pPr>
        <w:ind w:left="432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6">
      <w:start w:val="1"/>
      <w:numFmt w:val="bullet"/>
      <w:lvlText w:val="■"/>
      <w:lvlJc w:val="left"/>
      <w:pPr>
        <w:ind w:left="50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7">
      <w:start w:val="1"/>
      <w:numFmt w:val="bullet"/>
      <w:lvlText w:val="■"/>
      <w:lvlJc w:val="left"/>
      <w:pPr>
        <w:ind w:left="57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8">
      <w:start w:val="1"/>
      <w:numFmt w:val="bullet"/>
      <w:lvlText w:val="■"/>
      <w:lvlJc w:val="left"/>
      <w:pPr>
        <w:ind w:left="64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abstractNum>
  <w:abstractNum w:abstractNumId="2">
    <w:nsid w:val="00000002"/>
    <w:multiLevelType w:val="multilevel"/>
    <w:tmpl w:val="05DAF0C8"/>
    <w:lvl w:ilvl="0">
      <w:start w:val="1"/>
      <w:numFmt w:val="bullet"/>
      <w:lvlText w:val="●"/>
      <w:lvlJc w:val="left"/>
      <w:pPr>
        <w:ind w:left="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1">
      <w:start w:val="1"/>
      <w:numFmt w:val="bullet"/>
      <w:lvlText w:val="○"/>
      <w:lvlJc w:val="left"/>
      <w:pPr>
        <w:ind w:left="14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2">
      <w:start w:val="1"/>
      <w:numFmt w:val="bullet"/>
      <w:lvlText w:val="■"/>
      <w:lvlJc w:val="left"/>
      <w:pPr>
        <w:ind w:left="21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3">
      <w:start w:val="1"/>
      <w:numFmt w:val="bullet"/>
      <w:lvlText w:val="■"/>
      <w:lvlJc w:val="left"/>
      <w:pPr>
        <w:ind w:left="28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4">
      <w:start w:val="1"/>
      <w:numFmt w:val="bullet"/>
      <w:lvlText w:val="■"/>
      <w:lvlJc w:val="left"/>
      <w:pPr>
        <w:ind w:left="3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5">
      <w:start w:val="1"/>
      <w:numFmt w:val="bullet"/>
      <w:lvlText w:val="■"/>
      <w:lvlJc w:val="left"/>
      <w:pPr>
        <w:ind w:left="432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6">
      <w:start w:val="1"/>
      <w:numFmt w:val="bullet"/>
      <w:lvlText w:val="■"/>
      <w:lvlJc w:val="left"/>
      <w:pPr>
        <w:ind w:left="50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7">
      <w:start w:val="1"/>
      <w:numFmt w:val="bullet"/>
      <w:lvlText w:val="■"/>
      <w:lvlJc w:val="left"/>
      <w:pPr>
        <w:ind w:left="57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8">
      <w:start w:val="1"/>
      <w:numFmt w:val="bullet"/>
      <w:lvlText w:val="■"/>
      <w:lvlJc w:val="left"/>
      <w:pPr>
        <w:ind w:left="64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40"/>
  <w:embedTrueType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Arial" w:cs="Arial" w:eastAsia="Arial" w:hAnsi="Arial"/>
        <w:sz w:val="22"/>
        <w:szCs w:val="22"/>
        <w:lang w:val="en-US" w:bidi="ar-SA" w:eastAsia="en-US"/>
      </w:rPr>
    </w:rPrDefault>
    <w:pPrDefault>
      <w:pPr>
        <w:widowControl w:val="false"/>
      </w:pPr>
    </w:pPrDefault>
  </w:docDefaults>
  <w:style w:type="paragraph" w:default="1" w:styleId="style0">
    <w:name w:val="Normal"/>
    <w:next w:val="style0"/>
    <w:qFormat/>
    <w:pPr/>
  </w:style>
  <w:style w:type="paragraph" w:styleId="style1">
    <w:name w:val="heading 1"/>
    <w:basedOn w:val="style4098"/>
    <w:next w:val="style4098"/>
    <w:pPr>
      <w:pBdr>
        <w:left w:val="nil"/>
        <w:right w:val="nil"/>
        <w:top w:val="nil"/>
        <w:bottom w:val="nil"/>
        <w:between w:val="nil"/>
      </w:pBdr>
      <w:spacing w:before="240" w:after="240"/>
      <w:outlineLvl w:val="0"/>
    </w:pPr>
    <w:rPr>
      <w:b/>
      <w:bCs/>
      <w:sz w:val="48"/>
      <w:szCs w:val="48"/>
    </w:rPr>
  </w:style>
  <w:style w:type="paragraph" w:styleId="style2">
    <w:name w:val="heading 2"/>
    <w:basedOn w:val="style4098"/>
    <w:next w:val="style4098"/>
    <w:pPr>
      <w:pBdr>
        <w:left w:val="nil"/>
        <w:right w:val="nil"/>
        <w:top w:val="nil"/>
        <w:bottom w:val="nil"/>
        <w:between w:val="nil"/>
      </w:pBdr>
      <w:spacing w:before="225" w:after="225"/>
      <w:outlineLvl w:val="1"/>
    </w:pPr>
    <w:rPr>
      <w:b/>
      <w:bCs/>
      <w:sz w:val="36"/>
      <w:szCs w:val="36"/>
    </w:rPr>
  </w:style>
  <w:style w:type="paragraph" w:styleId="style3">
    <w:name w:val="heading 3"/>
    <w:basedOn w:val="style4098"/>
    <w:next w:val="style4098"/>
    <w:pPr>
      <w:pBdr>
        <w:left w:val="nil"/>
        <w:right w:val="nil"/>
        <w:top w:val="nil"/>
        <w:bottom w:val="nil"/>
        <w:between w:val="nil"/>
      </w:pBdr>
      <w:spacing w:before="240" w:after="240"/>
      <w:outlineLvl w:val="2"/>
    </w:pPr>
    <w:rPr>
      <w:b/>
      <w:bCs/>
      <w:sz w:val="28"/>
      <w:szCs w:val="28"/>
    </w:rPr>
  </w:style>
  <w:style w:type="paragraph" w:styleId="style4">
    <w:name w:val="heading 4"/>
    <w:basedOn w:val="style4098"/>
    <w:next w:val="style4098"/>
    <w:pPr>
      <w:pBdr>
        <w:left w:val="nil"/>
        <w:right w:val="nil"/>
        <w:top w:val="nil"/>
        <w:bottom w:val="nil"/>
        <w:between w:val="nil"/>
      </w:pBdr>
      <w:spacing w:before="255" w:after="255"/>
      <w:outlineLvl w:val="3"/>
    </w:pPr>
    <w:rPr>
      <w:b/>
      <w:bCs/>
      <w:sz w:val="24"/>
      <w:szCs w:val="24"/>
    </w:rPr>
  </w:style>
  <w:style w:type="paragraph" w:styleId="style5">
    <w:name w:val="heading 5"/>
    <w:basedOn w:val="style4098"/>
    <w:next w:val="style4098"/>
    <w:pPr>
      <w:pBdr>
        <w:left w:val="nil"/>
        <w:right w:val="nil"/>
        <w:top w:val="nil"/>
        <w:bottom w:val="nil"/>
        <w:between w:val="nil"/>
      </w:pBdr>
      <w:spacing w:before="255" w:after="255"/>
      <w:outlineLvl w:val="4"/>
    </w:pPr>
    <w:rPr>
      <w:b/>
      <w:bCs/>
      <w:sz w:val="18"/>
      <w:szCs w:val="18"/>
    </w:rPr>
  </w:style>
  <w:style w:type="paragraph" w:styleId="style6">
    <w:name w:val="heading 6"/>
    <w:basedOn w:val="style4098"/>
    <w:next w:val="style4098"/>
    <w:pPr>
      <w:pBdr>
        <w:left w:val="nil"/>
        <w:right w:val="nil"/>
        <w:top w:val="nil"/>
        <w:bottom w:val="nil"/>
        <w:between w:val="nil"/>
      </w:pBdr>
      <w:spacing w:before="360" w:after="360"/>
      <w:outlineLvl w:val="5"/>
    </w:pPr>
    <w:rPr>
      <w:b/>
      <w:bCs/>
      <w:sz w:val="16"/>
      <w:szCs w:val="16"/>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table" w:customStyle="1" w:styleId="style4097">
    <w:name w:val="TableNormal"/>
    <w:next w:val="style4097"/>
    <w:pPr/>
    <w:rPr/>
    <w:tblPr>
      <w:tblCellMar>
        <w:top w:w="100" w:type="dxa"/>
        <w:left w:w="100" w:type="dxa"/>
        <w:bottom w:w="100" w:type="dxa"/>
        <w:right w:w="100" w:type="dxa"/>
      </w:tblCellMar>
    </w:tblPr>
    <w:tcPr>
      <w:tcBorders/>
    </w:tcPr>
  </w:style>
  <w:style w:type="paragraph" w:customStyle="1" w:styleId="style4098">
    <w:name w:val="normal"/>
    <w:next w:val="style4098"/>
    <w:pPr/>
  </w:style>
  <w:style w:type="paragraph" w:styleId="style62">
    <w:name w:val="Title"/>
    <w:basedOn w:val="style4098"/>
    <w:next w:val="style4098"/>
    <w:pPr>
      <w:keepNext/>
      <w:keepLines/>
      <w:spacing w:before="480" w:after="120"/>
    </w:pPr>
    <w:rPr>
      <w:b/>
      <w:bCs/>
      <w:sz w:val="72"/>
      <w:szCs w:val="72"/>
    </w:rPr>
  </w:style>
  <w:style w:type="paragraph" w:styleId="style74">
    <w:name w:val="Subtitle"/>
    <w:basedOn w:val="style4098"/>
    <w:next w:val="style4098"/>
    <w:pPr>
      <w:keepNext/>
      <w:keepLines/>
      <w:spacing w:before="360" w:after="80"/>
    </w:pPr>
    <w:rPr>
      <w:rFonts w:ascii="Georgia" w:cs="Georgia" w:eastAsia="Georgia" w:hAnsi="Georgia"/>
      <w:i/>
      <w:iCs/>
      <w:color w:val="666666"/>
      <w:sz w:val="48"/>
      <w:szCs w:val="48"/>
    </w:rPr>
  </w:style>
  <w:style w:type="table" w:customStyle="1" w:styleId="style4099">
    <w:basedOn w:val="style4097"/>
    <w:next w:val="style4099"/>
    <w:pPr/>
    <w:rPr/>
    <w:tblPr>
      <w:tblStyleRowBandSize w:val="1"/>
      <w:tblStyleColBandSize w:val="1"/>
      <w:tblCellMar>
        <w:top w:w="100" w:type="dxa"/>
        <w:left w:w="100" w:type="dxa"/>
        <w:bottom w:w="100" w:type="dxa"/>
        <w:right w:w="100" w:type="dxa"/>
      </w:tblCellMar>
    </w:tblPr>
    <w:tcPr>
      <w:tcBorders/>
    </w:tcPr>
  </w:style>
  <w:style w:type="table" w:customStyle="1" w:styleId="style4100">
    <w:basedOn w:val="style4097"/>
    <w:next w:val="style4100"/>
    <w:pPr/>
    <w:rPr/>
    <w:tblPr>
      <w:tblStyleRowBandSize w:val="1"/>
      <w:tblStyleColBandSize w:val="1"/>
      <w:tblCellMar>
        <w:top w:w="100" w:type="dxa"/>
        <w:left w:w="100" w:type="dxa"/>
        <w:bottom w:w="100" w:type="dxa"/>
        <w:right w:w="100" w:type="dxa"/>
      </w:tblCellMar>
    </w:tblPr>
    <w:tcPr>
      <w:tcBorders/>
    </w:tcPr>
  </w:style>
  <w:style w:type="paragraph" w:styleId="style153">
    <w:name w:val="Balloon Text"/>
    <w:basedOn w:val="style0"/>
    <w:next w:val="style153"/>
    <w:link w:val="style4101"/>
    <w:uiPriority w:val="99"/>
    <w:pPr/>
    <w:rPr>
      <w:rFonts w:ascii="Tahoma" w:cs="Tahoma" w:hAnsi="Tahoma"/>
      <w:sz w:val="16"/>
      <w:szCs w:val="16"/>
    </w:rPr>
  </w:style>
  <w:style w:type="character" w:customStyle="1" w:styleId="style4101">
    <w:name w:val="نص في بالون Char"/>
    <w:basedOn w:val="style65"/>
    <w:next w:val="style4101"/>
    <w:link w:val="style153"/>
    <w:uiPriority w:val="99"/>
    <w:rPr>
      <w:rFonts w:ascii="Tahoma" w:cs="Tahoma" w:hAnsi="Tahoma"/>
      <w:sz w:val="16"/>
      <w:szCs w:val="16"/>
    </w:rPr>
  </w:style>
  <w:style w:type="paragraph" w:styleId="style31">
    <w:name w:val="header"/>
    <w:basedOn w:val="style0"/>
    <w:next w:val="style31"/>
    <w:link w:val="style4102"/>
    <w:uiPriority w:val="99"/>
    <w:pPr>
      <w:tabs>
        <w:tab w:val="center" w:leader="none" w:pos="4680"/>
        <w:tab w:val="right" w:leader="none" w:pos="9360"/>
      </w:tabs>
    </w:pPr>
    <w:rPr/>
  </w:style>
  <w:style w:type="character" w:customStyle="1" w:styleId="style4102">
    <w:name w:val="رأس صفحة Char"/>
    <w:basedOn w:val="style65"/>
    <w:next w:val="style4102"/>
    <w:link w:val="style31"/>
    <w:uiPriority w:val="99"/>
  </w:style>
  <w:style w:type="paragraph" w:styleId="style32">
    <w:name w:val="footer"/>
    <w:basedOn w:val="style0"/>
    <w:next w:val="style32"/>
    <w:link w:val="style4103"/>
    <w:uiPriority w:val="99"/>
    <w:pPr>
      <w:tabs>
        <w:tab w:val="center" w:leader="none" w:pos="4680"/>
        <w:tab w:val="right" w:leader="none" w:pos="9360"/>
      </w:tabs>
    </w:pPr>
    <w:rPr/>
  </w:style>
  <w:style w:type="character" w:customStyle="1" w:styleId="style4103">
    <w:name w:val="تذييل صفحة Char"/>
    <w:basedOn w:val="style65"/>
    <w:next w:val="style4103"/>
    <w:link w:val="style32"/>
    <w:uiPriority w:val="99"/>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Words>830</Words>
  <Pages>1</Pages>
  <Characters>5043</Characters>
  <Application>WPS Office</Application>
  <DocSecurity>0</DocSecurity>
  <Paragraphs>128</Paragraphs>
  <ScaleCrop>false</ScaleCrop>
  <LinksUpToDate>false</LinksUpToDate>
  <CharactersWithSpaces>5783</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٢٠٢٦-٠٨-٣١T٠٣:٤٤:٠٠Z</dcterms:created>
  <dc:creator>WPS Office</dc:creator>
  <lastModifiedBy>SM-S928B</lastModifiedBy>
  <dcterms:modified xsi:type="dcterms:W3CDTF">٢٠٢٦-٠٨-٣١T١٨:١٤:٤٠Z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df6320d68b5a4968862fdfe22de57ccf_23</vt:lpwstr>
  </property>
</Properties>
</file>