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323" w:rsidRDefault="007A40EF" w:rsidP="00BA184B">
      <w:pPr>
        <w:bidi/>
        <w:spacing w:after="100"/>
        <w:jc w:val="center"/>
      </w:pPr>
      <w:r>
        <w:rPr>
          <w:rFonts w:ascii="Arial" w:eastAsia="Arial" w:hAnsi="Arial" w:cs="Arial"/>
          <w:b/>
          <w:bCs/>
          <w:color w:val="1F3864"/>
          <w:sz w:val="44"/>
          <w:szCs w:val="44"/>
          <w:rtl/>
        </w:rPr>
        <w:t>خطة النشاط الحر السنوية</w:t>
      </w:r>
    </w:p>
    <w:p w:rsidR="00213323" w:rsidRDefault="007A40EF" w:rsidP="00BA184B">
      <w:pPr>
        <w:bidi/>
        <w:spacing w:after="100"/>
        <w:jc w:val="center"/>
      </w:pPr>
      <w:r>
        <w:rPr>
          <w:rFonts w:ascii="Arial" w:eastAsia="Arial" w:hAnsi="Arial" w:cs="Arial"/>
          <w:b/>
          <w:bCs/>
          <w:color w:val="C99A2E"/>
          <w:sz w:val="28"/>
          <w:szCs w:val="28"/>
          <w:rtl/>
        </w:rPr>
        <w:t>(المجال الموسيقي)</w:t>
      </w:r>
    </w:p>
    <w:p w:rsidR="00213323" w:rsidRDefault="007A40EF" w:rsidP="00BA184B">
      <w:pPr>
        <w:bidi/>
        <w:spacing w:after="60"/>
        <w:jc w:val="center"/>
      </w:pPr>
      <w:r>
        <w:rPr>
          <w:rFonts w:ascii="Arial" w:eastAsia="Arial" w:hAnsi="Arial" w:cs="Arial"/>
          <w:i/>
          <w:iCs/>
          <w:color w:val="555555"/>
          <w:sz w:val="20"/>
          <w:rtl/>
        </w:rPr>
        <w:t>استناداً إلى دليل الأنشطة المدرسية - المركز الوطني لتطوير المناهج</w:t>
      </w:r>
    </w:p>
    <w:p w:rsidR="00213323" w:rsidRDefault="007A40EF" w:rsidP="00BA184B">
      <w:pPr>
        <w:pBdr>
          <w:bottom w:val="single" w:sz="16" w:space="6" w:color="1F3864"/>
        </w:pBdr>
        <w:bidi/>
        <w:spacing w:after="300"/>
        <w:jc w:val="left"/>
      </w:pPr>
      <w:r>
        <w:rPr>
          <w:rFonts w:ascii="Arial" w:eastAsia="Arial" w:hAnsi="Arial" w:cs="Arial"/>
          <w:b/>
          <w:bCs/>
          <w:color w:val="1F3864"/>
          <w:sz w:val="24"/>
          <w:szCs w:val="24"/>
          <w:rtl/>
        </w:rPr>
        <w:t>إعداد: موقع الإيمان</w:t>
      </w:r>
    </w:p>
    <w:p w:rsidR="00213323" w:rsidRDefault="007A40EF" w:rsidP="00BA184B">
      <w:pPr>
        <w:pBdr>
          <w:bottom w:val="single" w:sz="12" w:space="4" w:color="C99A2E"/>
        </w:pBdr>
        <w:bidi/>
        <w:spacing w:before="400" w:after="200"/>
        <w:jc w:val="left"/>
      </w:pPr>
      <w:r>
        <w:rPr>
          <w:rFonts w:ascii="Arial" w:eastAsia="Arial" w:hAnsi="Arial" w:cs="Arial"/>
          <w:b/>
          <w:bCs/>
          <w:color w:val="1F3864"/>
          <w:sz w:val="30"/>
          <w:szCs w:val="30"/>
          <w:rtl/>
        </w:rPr>
        <w:t>أولاً. خطة الفصل الدراسي الأول</w:t>
      </w:r>
    </w:p>
    <w:tbl>
      <w:tblPr>
        <w:tblW w:w="9350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498"/>
        <w:gridCol w:w="1640"/>
        <w:gridCol w:w="762"/>
        <w:gridCol w:w="2480"/>
        <w:gridCol w:w="1984"/>
        <w:gridCol w:w="1986"/>
      </w:tblGrid>
      <w:tr w:rsidR="0021332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1F3864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rtl/>
              </w:rPr>
              <w:t>م</w:t>
            </w:r>
          </w:p>
        </w:tc>
        <w:tc>
          <w:tcPr>
            <w:tcW w:w="165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1F3864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rtl/>
              </w:rPr>
              <w:t>اسم النشاط</w:t>
            </w:r>
          </w:p>
        </w:tc>
        <w:tc>
          <w:tcPr>
            <w:tcW w:w="7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1F3864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rtl/>
              </w:rPr>
              <w:t>عدد الحصص</w:t>
            </w:r>
          </w:p>
        </w:tc>
        <w:tc>
          <w:tcPr>
            <w:tcW w:w="2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1F3864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rtl/>
              </w:rPr>
              <w:t>الأهداف والنتاجات الرئيسية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1F3864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rtl/>
              </w:rPr>
              <w:t>الأدوات والوسائل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1F3864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rtl/>
              </w:rPr>
              <w:t>أهم الإجراءات والأنشطة</w:t>
            </w:r>
          </w:p>
        </w:tc>
      </w:tr>
      <w:tr w:rsidR="00213323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t>1</w:t>
            </w:r>
          </w:p>
        </w:tc>
        <w:tc>
          <w:tcPr>
            <w:tcW w:w="165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t>الموسيقيون الأردنيون</w:t>
            </w:r>
          </w:p>
        </w:tc>
        <w:tc>
          <w:tcPr>
            <w:tcW w:w="7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4 حصص</w:t>
            </w:r>
          </w:p>
        </w:tc>
        <w:tc>
          <w:tcPr>
            <w:tcW w:w="2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التعرف على السيرة الفنية للفنانين/ات الأردنيين/ات وأعمالهم، التمييز بين الأعمال الموسيقية الأردنية ومناسباتها، وتذوق الفن الموسيقي الأردني وتنمية الهوية الوطنية.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جهاز حاسوب، مادة سمعية، آلة الأورغ، صور الفنانين، أوراق عمل.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 xml:space="preserve">عرض </w:t>
            </w:r>
            <w:r>
              <w:rPr>
                <w:rFonts w:ascii="Arial" w:eastAsia="Arial" w:hAnsi="Arial" w:cs="Arial"/>
                <w:sz w:val="19"/>
                <w:szCs w:val="19"/>
                <w:rtl/>
              </w:rPr>
              <w:t>السيرة الفنية للأعلام الموسيقيين الأردنيين، التمييز بين الأعمال والمناسبات الوطنية والتراثية، والتدريب على غناء وعزف نماذج من الأغاني الأردنية.</w:t>
            </w:r>
          </w:p>
        </w:tc>
      </w:tr>
      <w:tr w:rsidR="00213323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t>2</w:t>
            </w:r>
          </w:p>
        </w:tc>
        <w:tc>
          <w:tcPr>
            <w:tcW w:w="165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t>قوالب الموسيقى الغربية الآلية</w:t>
            </w:r>
          </w:p>
        </w:tc>
        <w:tc>
          <w:tcPr>
            <w:tcW w:w="7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4 حصص</w:t>
            </w:r>
          </w:p>
        </w:tc>
        <w:tc>
          <w:tcPr>
            <w:tcW w:w="2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 xml:space="preserve">معرفة مفهوم القالب الموسيقي الغربي وأنواعه (سيمفونية، سوناتا، روندو)، </w:t>
            </w:r>
            <w:r>
              <w:rPr>
                <w:rFonts w:ascii="Arial" w:eastAsia="Arial" w:hAnsi="Arial" w:cs="Arial"/>
                <w:sz w:val="19"/>
                <w:szCs w:val="19"/>
                <w:rtl/>
              </w:rPr>
              <w:t>التمييز بين أصوات الآلات والقوالب الغربية، وتعزيز الانفتاح على ثقافات الشعوب.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جهاز حاسوب، مادة سمعية، سبورة، أوراق عمل، آلات (كمان، أورغ).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 xml:space="preserve">شرح حركات القوالب الموسيقية الغربية وتوضيحها، الاستماع لنماذج سمعية مخصصة وتحديد الآلات، وتطبيق عزف مقطوعات أو أجزاء </w:t>
            </w:r>
            <w:r>
              <w:rPr>
                <w:rFonts w:ascii="Arial" w:eastAsia="Arial" w:hAnsi="Arial" w:cs="Arial"/>
                <w:sz w:val="19"/>
                <w:szCs w:val="19"/>
                <w:rtl/>
              </w:rPr>
              <w:t>من القوالب الغربية.</w:t>
            </w:r>
          </w:p>
        </w:tc>
      </w:tr>
      <w:tr w:rsidR="00213323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t>3</w:t>
            </w:r>
          </w:p>
        </w:tc>
        <w:tc>
          <w:tcPr>
            <w:tcW w:w="165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t>قوالب الموسيقى العربية</w:t>
            </w:r>
          </w:p>
        </w:tc>
        <w:tc>
          <w:tcPr>
            <w:tcW w:w="7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4 حصص</w:t>
            </w:r>
          </w:p>
        </w:tc>
        <w:tc>
          <w:tcPr>
            <w:tcW w:w="2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التعرف على القوالب العربية الآلية (سماعي، لونجا) والغنائية (موشح، موال)، المقارنة بين خصائص القوالب الآلية والغنائية، وتعزيز الهوية والتراث الموسيقي العربي.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مادة سمعية وتدريبية، آلات موسيقية عربية، حاسوب،</w:t>
            </w:r>
            <w:r>
              <w:rPr>
                <w:rFonts w:ascii="Arial" w:eastAsia="Arial" w:hAnsi="Arial" w:cs="Arial"/>
                <w:sz w:val="19"/>
                <w:szCs w:val="19"/>
                <w:rtl/>
              </w:rPr>
              <w:t xml:space="preserve"> سبورة، أوراق عمل.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توضيح مفهوم الفرق بين القوالب الغنائية والآلية، إقامة تدريبات على العزف والغناء الفردي والجماعي، ومناقشة أصل وفنون الموشحات والمواويل والأشكال الآلية.</w:t>
            </w:r>
          </w:p>
        </w:tc>
      </w:tr>
      <w:tr w:rsidR="00213323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t>4</w:t>
            </w:r>
          </w:p>
        </w:tc>
        <w:tc>
          <w:tcPr>
            <w:tcW w:w="165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t>الأغنية الدينية</w:t>
            </w:r>
          </w:p>
        </w:tc>
        <w:tc>
          <w:tcPr>
            <w:tcW w:w="7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4 حصص</w:t>
            </w:r>
          </w:p>
        </w:tc>
        <w:tc>
          <w:tcPr>
            <w:tcW w:w="2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 xml:space="preserve">التعرف على مفهوم الأغنية الدينية ونشأتها وتاريخها، التمييز </w:t>
            </w:r>
            <w:r>
              <w:rPr>
                <w:rFonts w:ascii="Arial" w:eastAsia="Arial" w:hAnsi="Arial" w:cs="Arial"/>
                <w:sz w:val="19"/>
                <w:szCs w:val="19"/>
                <w:rtl/>
              </w:rPr>
              <w:t>بين آلات الإيقاع (الدف، الرق، الطار)، وترسيخ القيم والروحانيات والعمل الجماعي المنظم.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آلات إيقاعية (دف، رق، طار، طبول)، تسجيلات صوتية للأناشيد والمدائح.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قراءة وتفسير كلمات الأناشيد والمدائح النبوية، الغناء الفردي والجماعي (الكورال) بمرافقة الإيقاعات، ومناق</w:t>
            </w:r>
            <w:r>
              <w:rPr>
                <w:rFonts w:ascii="Arial" w:eastAsia="Arial" w:hAnsi="Arial" w:cs="Arial"/>
                <w:sz w:val="19"/>
                <w:szCs w:val="19"/>
                <w:rtl/>
              </w:rPr>
              <w:t>شة أثر الأغنية الدينية في الجانب الروحاني.</w:t>
            </w:r>
          </w:p>
        </w:tc>
      </w:tr>
      <w:tr w:rsidR="00213323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t>5</w:t>
            </w:r>
          </w:p>
        </w:tc>
        <w:tc>
          <w:tcPr>
            <w:tcW w:w="165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t>قيادة الفرقة الموسيقية</w:t>
            </w:r>
          </w:p>
        </w:tc>
        <w:tc>
          <w:tcPr>
            <w:tcW w:w="7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حصتان</w:t>
            </w:r>
          </w:p>
        </w:tc>
        <w:tc>
          <w:tcPr>
            <w:tcW w:w="2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فهم مفهوم القيادة الموسيقية وسمات المايسترو، التعرف على قواعد وأساليب القيادة وعصا القيادة، وتنمية مهارات لغة الجسد والتعاون وبناء الشخصية القيادية.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 xml:space="preserve">مادة سمعية وتدريبية، آلات </w:t>
            </w:r>
            <w:r>
              <w:rPr>
                <w:rFonts w:ascii="Arial" w:eastAsia="Arial" w:hAnsi="Arial" w:cs="Arial"/>
                <w:sz w:val="19"/>
                <w:szCs w:val="19"/>
                <w:rtl/>
              </w:rPr>
              <w:t>متنوعة، سبورة، تسجيلات لفِرَق موسيقية.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شرح لغة اليدين والوجه والجسد الخاصة بالقائد، توضيح دور عصا القيادة وتنظيم المجموعات، وتطبيق عملي وتبادل أدوار الطلبة في قيادة زملائهم أثناء العزف.</w:t>
            </w:r>
          </w:p>
        </w:tc>
      </w:tr>
    </w:tbl>
    <w:p w:rsidR="00213323" w:rsidRDefault="007A40EF" w:rsidP="00BA184B">
      <w:pPr>
        <w:pBdr>
          <w:bottom w:val="single" w:sz="12" w:space="4" w:color="C99A2E"/>
        </w:pBdr>
        <w:bidi/>
        <w:spacing w:before="400" w:after="200"/>
        <w:jc w:val="left"/>
      </w:pPr>
      <w:r>
        <w:rPr>
          <w:rFonts w:ascii="Arial" w:eastAsia="Arial" w:hAnsi="Arial" w:cs="Arial"/>
          <w:b/>
          <w:bCs/>
          <w:color w:val="1F3864"/>
          <w:sz w:val="30"/>
          <w:szCs w:val="30"/>
          <w:rtl/>
        </w:rPr>
        <w:t>ثانياً. خطة الفصل الدراسي الثاني</w:t>
      </w:r>
    </w:p>
    <w:tbl>
      <w:tblPr>
        <w:tblW w:w="9350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499"/>
        <w:gridCol w:w="1639"/>
        <w:gridCol w:w="762"/>
        <w:gridCol w:w="2479"/>
        <w:gridCol w:w="1985"/>
        <w:gridCol w:w="1986"/>
      </w:tblGrid>
      <w:tr w:rsidR="0021332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1F3864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rtl/>
              </w:rPr>
              <w:t>م</w:t>
            </w:r>
          </w:p>
        </w:tc>
        <w:tc>
          <w:tcPr>
            <w:tcW w:w="165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1F3864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rtl/>
              </w:rPr>
              <w:t>اسم النشاط</w:t>
            </w:r>
          </w:p>
        </w:tc>
        <w:tc>
          <w:tcPr>
            <w:tcW w:w="7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1F3864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rtl/>
              </w:rPr>
              <w:t>عدد الحصص</w:t>
            </w:r>
          </w:p>
        </w:tc>
        <w:tc>
          <w:tcPr>
            <w:tcW w:w="2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1F3864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rtl/>
              </w:rPr>
              <w:t xml:space="preserve">الأهداف </w:t>
            </w:r>
            <w:r>
              <w:rPr>
                <w:rFonts w:ascii="Arial" w:eastAsia="Arial" w:hAnsi="Arial" w:cs="Arial"/>
                <w:b/>
                <w:bCs/>
                <w:color w:val="FFFFFF"/>
                <w:sz w:val="20"/>
                <w:rtl/>
              </w:rPr>
              <w:t>والنتاجات الرئيسية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1F3864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rtl/>
              </w:rPr>
              <w:t>الأدوات والوسائل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1F3864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rtl/>
              </w:rPr>
              <w:t>أهم الإجراءات والأنشطة</w:t>
            </w:r>
          </w:p>
        </w:tc>
      </w:tr>
      <w:tr w:rsidR="00213323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t>6</w:t>
            </w:r>
          </w:p>
        </w:tc>
        <w:tc>
          <w:tcPr>
            <w:tcW w:w="165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t>الميزان الموسيقي</w:t>
            </w:r>
          </w:p>
        </w:tc>
        <w:tc>
          <w:tcPr>
            <w:tcW w:w="7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حصتان</w:t>
            </w:r>
          </w:p>
        </w:tc>
        <w:tc>
          <w:tcPr>
            <w:tcW w:w="2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معرفة مفهوم الميزان الموسيقي (البسيط والمركب)، إدراك دالة البسط والمقام ومكانه على المدرج، وتنمية مهارات التمييز والتركيز ورسم الموازين بدقة.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 xml:space="preserve">دفتر موسيقى، أقلام رصاص، </w:t>
            </w:r>
            <w:r>
              <w:rPr>
                <w:rFonts w:ascii="Arial" w:eastAsia="Arial" w:hAnsi="Arial" w:cs="Arial"/>
                <w:sz w:val="19"/>
                <w:szCs w:val="19"/>
                <w:rtl/>
              </w:rPr>
              <w:t>سبورة، صور موازين، مادة تعليمية.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شرح وظيفة البسط والمقام وموقع الميزان بعد المفتاح، رسم وتدوين الموازين الموسيقية، وتقسيم الطلبة لمجموعات لتبادل أدوار رسم الموازين.</w:t>
            </w:r>
          </w:p>
        </w:tc>
      </w:tr>
      <w:tr w:rsidR="00213323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t>7</w:t>
            </w:r>
          </w:p>
        </w:tc>
        <w:tc>
          <w:tcPr>
            <w:tcW w:w="165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t>المفاتيح الموسيقية</w:t>
            </w:r>
          </w:p>
        </w:tc>
        <w:tc>
          <w:tcPr>
            <w:tcW w:w="7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حصتان</w:t>
            </w:r>
          </w:p>
        </w:tc>
        <w:tc>
          <w:tcPr>
            <w:tcW w:w="2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 xml:space="preserve">التعرف على المفاتيح الموسيقية ووظائفها (خاصة صول، فا)، تحديد </w:t>
            </w:r>
            <w:r>
              <w:rPr>
                <w:rFonts w:ascii="Arial" w:eastAsia="Arial" w:hAnsi="Arial" w:cs="Arial"/>
                <w:sz w:val="19"/>
                <w:szCs w:val="19"/>
                <w:rtl/>
              </w:rPr>
              <w:t xml:space="preserve">المكان المخصص لكل مفتاح على </w:t>
            </w:r>
            <w:r>
              <w:rPr>
                <w:rFonts w:ascii="Arial" w:eastAsia="Arial" w:hAnsi="Arial" w:cs="Arial"/>
                <w:sz w:val="19"/>
                <w:szCs w:val="19"/>
                <w:rtl/>
              </w:rPr>
              <w:lastRenderedPageBreak/>
              <w:t>المدرج الموسيقي، واكتساب مهارة الرسم الدقيق للمفاتيح الموسيقية.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lastRenderedPageBreak/>
              <w:t>دفتر موسيقى، أقلام، سبورة، صور تعبيرية للمفاتيح، أوراق عمل.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 xml:space="preserve">رسم المدرج وتوضيح طريقة رسم مفتاحي (صول) و(فا)، تعليل سبب تسمية المفاتيح </w:t>
            </w:r>
            <w:r>
              <w:rPr>
                <w:rFonts w:ascii="Arial" w:eastAsia="Arial" w:hAnsi="Arial" w:cs="Arial"/>
                <w:sz w:val="19"/>
                <w:szCs w:val="19"/>
                <w:rtl/>
              </w:rPr>
              <w:lastRenderedPageBreak/>
              <w:t xml:space="preserve">الموسيقية بأسمائها، وتمارين </w:t>
            </w:r>
            <w:r>
              <w:rPr>
                <w:rFonts w:ascii="Arial" w:eastAsia="Arial" w:hAnsi="Arial" w:cs="Arial"/>
                <w:sz w:val="19"/>
                <w:szCs w:val="19"/>
                <w:rtl/>
              </w:rPr>
              <w:t>عملية رسم فردية وجماعية للمفاتيح.</w:t>
            </w:r>
          </w:p>
        </w:tc>
      </w:tr>
      <w:tr w:rsidR="00213323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lastRenderedPageBreak/>
              <w:t>8</w:t>
            </w:r>
          </w:p>
        </w:tc>
        <w:tc>
          <w:tcPr>
            <w:tcW w:w="165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t>المدرج الموسيقي</w:t>
            </w:r>
          </w:p>
        </w:tc>
        <w:tc>
          <w:tcPr>
            <w:tcW w:w="7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حصتان</w:t>
            </w:r>
          </w:p>
        </w:tc>
        <w:tc>
          <w:tcPr>
            <w:tcW w:w="2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التعرف على المدرج الموسيقي وعدد الخطوط والخانات، معرفة أسماء الخطوط والفراغات وطريقة الترقيم، واكتساب مهارة القياسات المتساوية ورسم المدرج.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مسطرة، أقلام، أوراق بيضاء، سبورة، صور توضيحية.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 xml:space="preserve">رسم خطوط </w:t>
            </w:r>
            <w:r>
              <w:rPr>
                <w:rFonts w:ascii="Arial" w:eastAsia="Arial" w:hAnsi="Arial" w:cs="Arial"/>
                <w:sz w:val="19"/>
                <w:szCs w:val="19"/>
                <w:rtl/>
              </w:rPr>
              <w:t>المدرج الخمسة والفراغات الأربعة من الأسفل للأعلى، محاكاة بشرية بوقوف الطلبة لتمثيل الخطوط والفراغات، والتدرب على رسم المدرج بقياسات متساوية.</w:t>
            </w:r>
          </w:p>
        </w:tc>
      </w:tr>
      <w:tr w:rsidR="00213323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t>9</w:t>
            </w:r>
          </w:p>
        </w:tc>
        <w:tc>
          <w:tcPr>
            <w:tcW w:w="165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t>السلم الموسيقي</w:t>
            </w:r>
          </w:p>
        </w:tc>
        <w:tc>
          <w:tcPr>
            <w:tcW w:w="7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حصتان</w:t>
            </w:r>
          </w:p>
        </w:tc>
        <w:tc>
          <w:tcPr>
            <w:tcW w:w="2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 xml:space="preserve">فهم مفهوم السلم الموسيقي وتمييز نغماته، التدرج في تتبع الأصوات صعوداً وهبوطاً، واكتشاف </w:t>
            </w:r>
            <w:r>
              <w:rPr>
                <w:rFonts w:ascii="Arial" w:eastAsia="Arial" w:hAnsi="Arial" w:cs="Arial"/>
                <w:sz w:val="19"/>
                <w:szCs w:val="19"/>
                <w:rtl/>
              </w:rPr>
              <w:t>الطبقات والمساحات الصوتية وتعزيز الثقة.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آلة الأورغ، حاسوب، مادة سمعية وتدريبية.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استماع لنغمات السلم وعزفه صعوداً وهبوطاً، غناء النغمات بالحنجرة البشرية وتحديد المساحة الصوتية، وتشغيل مجموعة طلابية تمثل درجات السلم وغنائها جماعياً وفردياً.</w:t>
            </w:r>
          </w:p>
        </w:tc>
      </w:tr>
      <w:tr w:rsidR="00213323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t>10</w:t>
            </w:r>
          </w:p>
        </w:tc>
        <w:tc>
          <w:tcPr>
            <w:tcW w:w="165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t xml:space="preserve">السكتات </w:t>
            </w: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t>الموسيقية</w:t>
            </w:r>
          </w:p>
        </w:tc>
        <w:tc>
          <w:tcPr>
            <w:tcW w:w="7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حسب الدليل</w:t>
            </w:r>
          </w:p>
        </w:tc>
        <w:tc>
          <w:tcPr>
            <w:tcW w:w="2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التعرف على مفهوم وأشكال وأزمنة السكتات الموسيقية، ربط قيم السكتات بالعمليات الحسابية وموقعها على المدرج، وضبط الإيقاع والزمن في الأداء الفني.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دفتر موسيقى، أقلام، سبورة، بطاقات توضيحية لرمز كل سكتة.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توضيح أشكال السكتات وقيمتها الزمنية ا</w:t>
            </w:r>
            <w:r>
              <w:rPr>
                <w:rFonts w:ascii="Arial" w:eastAsia="Arial" w:hAnsi="Arial" w:cs="Arial"/>
                <w:sz w:val="19"/>
                <w:szCs w:val="19"/>
                <w:rtl/>
              </w:rPr>
              <w:t>لمقابلة للعلامات، وإجراء تمارين حسابية وتطبيقية لضبط الصمت والزمن أثناء الأداء.</w:t>
            </w:r>
          </w:p>
        </w:tc>
      </w:tr>
      <w:tr w:rsidR="00213323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t>11</w:t>
            </w:r>
          </w:p>
        </w:tc>
        <w:tc>
          <w:tcPr>
            <w:tcW w:w="165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t>مراجعة عامة وتطبيق ختامي</w:t>
            </w:r>
          </w:p>
        </w:tc>
        <w:tc>
          <w:tcPr>
            <w:tcW w:w="7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3 حصص</w:t>
            </w:r>
          </w:p>
        </w:tc>
        <w:tc>
          <w:tcPr>
            <w:tcW w:w="25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 xml:space="preserve">الشمولية والمراجعة لكافة مفاهيم وتطبيقات الدليل، قياس مدى استيعاب الكفايات المعرفية والمهارية، وتقديم نتاجات وأعمال الطلبة واستدامة أثر </w:t>
            </w:r>
            <w:r>
              <w:rPr>
                <w:rFonts w:ascii="Arial" w:eastAsia="Arial" w:hAnsi="Arial" w:cs="Arial"/>
                <w:sz w:val="19"/>
                <w:szCs w:val="19"/>
                <w:rtl/>
              </w:rPr>
              <w:t>النشاط.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أدوات الأنشطة كاملة (آلات، تسجيلات، أوراق عمل، مجسمات وصور).</w:t>
            </w:r>
          </w:p>
        </w:tc>
        <w:tc>
          <w:tcPr>
            <w:tcW w:w="20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إقامة عروض توضيحية وجلسات عصف ذهني ومسابقات، تشكيل فِرَق كورال وعزف مدرسية، وتقييم ملفات الطلبة وتوزيع الجوائز التقديرية.</w:t>
            </w:r>
          </w:p>
        </w:tc>
      </w:tr>
    </w:tbl>
    <w:p w:rsidR="00213323" w:rsidRDefault="007A40EF" w:rsidP="00BA184B">
      <w:pPr>
        <w:pBdr>
          <w:bottom w:val="single" w:sz="12" w:space="4" w:color="C99A2E"/>
        </w:pBdr>
        <w:bidi/>
        <w:spacing w:before="400" w:after="200"/>
        <w:jc w:val="left"/>
      </w:pPr>
      <w:r>
        <w:rPr>
          <w:rFonts w:ascii="Arial" w:eastAsia="Arial" w:hAnsi="Arial" w:cs="Arial"/>
          <w:b/>
          <w:bCs/>
          <w:color w:val="1F3864"/>
          <w:sz w:val="30"/>
          <w:szCs w:val="30"/>
          <w:rtl/>
        </w:rPr>
        <w:t>ثالثاً. استراتيجيات التقييم وضمان الجودة والاستدامة</w:t>
      </w:r>
    </w:p>
    <w:tbl>
      <w:tblPr>
        <w:tblW w:w="9350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100"/>
        <w:gridCol w:w="7250"/>
      </w:tblGrid>
      <w:tr w:rsidR="0021332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1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1F3864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rtl/>
              </w:rPr>
              <w:t>المحور</w:t>
            </w:r>
          </w:p>
        </w:tc>
        <w:tc>
          <w:tcPr>
            <w:tcW w:w="725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1F3864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rtl/>
              </w:rPr>
              <w:t>التفاصيل</w:t>
            </w:r>
          </w:p>
        </w:tc>
      </w:tr>
      <w:tr w:rsidR="00213323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t>استراتيجيات التقويم</w:t>
            </w:r>
          </w:p>
        </w:tc>
        <w:tc>
          <w:tcPr>
            <w:tcW w:w="725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EDF2F9" w:fill="EDF2F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>استخدام التقويم المعتمد على الأداء (العزف، الغناء، رسم العناصر)، الملاحظة المباشرة وتعبئة السجل القصصي وسجل الطالب، والتقويم الذاتي وتقويم الأقران.</w:t>
            </w:r>
          </w:p>
        </w:tc>
      </w:tr>
      <w:tr w:rsidR="00213323">
        <w:tblPrEx>
          <w:tblCellMar>
            <w:top w:w="0" w:type="dxa"/>
            <w:bottom w:w="0" w:type="dxa"/>
          </w:tblCellMar>
        </w:tblPrEx>
        <w:tc>
          <w:tcPr>
            <w:tcW w:w="210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  <w:rtl/>
              </w:rPr>
              <w:t>استدامة النشاط</w:t>
            </w:r>
          </w:p>
        </w:tc>
        <w:tc>
          <w:tcPr>
            <w:tcW w:w="7250" w:type="dxa"/>
            <w:tcBorders>
              <w:top w:val="single" w:sz="4" w:space="0" w:color="B9C4D6"/>
              <w:left w:val="single" w:sz="4" w:space="0" w:color="B9C4D6"/>
              <w:bottom w:val="single" w:sz="4" w:space="0" w:color="B9C4D6"/>
              <w:right w:val="single" w:sz="4" w:space="0" w:color="B9C4D6"/>
            </w:tcBorders>
            <w:shd w:val="clear" w:color="FFFFFF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13323" w:rsidRDefault="007A40EF" w:rsidP="00BA184B">
            <w:pPr>
              <w:bidi/>
              <w:jc w:val="left"/>
            </w:pPr>
            <w:r>
              <w:rPr>
                <w:rFonts w:ascii="Arial" w:eastAsia="Arial" w:hAnsi="Arial" w:cs="Arial"/>
                <w:sz w:val="19"/>
                <w:szCs w:val="19"/>
                <w:rtl/>
              </w:rPr>
              <w:t xml:space="preserve">تشكيل فرقة موسيقية وكورال مدرسي، تنفيذ معرض ختامي للأنشطة </w:t>
            </w:r>
            <w:r>
              <w:rPr>
                <w:rFonts w:ascii="Arial" w:eastAsia="Arial" w:hAnsi="Arial" w:cs="Arial"/>
                <w:sz w:val="19"/>
                <w:szCs w:val="19"/>
                <w:rtl/>
              </w:rPr>
              <w:t>الفنية الموسيقية، واستضافة قامات أو متخصصين من المجتمع المحلي في الورش التدريبية.</w:t>
            </w:r>
          </w:p>
        </w:tc>
      </w:tr>
    </w:tbl>
    <w:p w:rsidR="00213323" w:rsidRDefault="007A40EF" w:rsidP="00BA184B">
      <w:pPr>
        <w:bidi/>
        <w:spacing w:before="400"/>
        <w:jc w:val="left"/>
        <w:rPr>
          <w:rFonts w:ascii="Arial" w:eastAsia="Arial" w:hAnsi="Arial" w:cs="Arial" w:hint="cs"/>
          <w:b/>
          <w:bCs/>
          <w:color w:val="1F3864"/>
          <w:sz w:val="20"/>
          <w:rtl/>
        </w:rPr>
      </w:pPr>
      <w:r>
        <w:rPr>
          <w:rFonts w:ascii="Arial" w:eastAsia="Arial" w:hAnsi="Arial" w:cs="Arial"/>
          <w:b/>
          <w:bCs/>
          <w:color w:val="1F3864"/>
          <w:sz w:val="20"/>
          <w:rtl/>
        </w:rPr>
        <w:t>إعداد: موقع الإيمان</w:t>
      </w:r>
    </w:p>
    <w:p w:rsidR="00BA184B" w:rsidRDefault="00BA184B" w:rsidP="00BA184B">
      <w:pPr>
        <w:bidi/>
        <w:spacing w:before="400"/>
        <w:jc w:val="left"/>
        <w:rPr>
          <w:rFonts w:ascii="Arial" w:eastAsia="Arial" w:hAnsi="Arial" w:cs="Arial" w:hint="cs"/>
          <w:b/>
          <w:bCs/>
          <w:color w:val="1F3864"/>
          <w:sz w:val="20"/>
          <w:rtl/>
        </w:rPr>
      </w:pPr>
    </w:p>
    <w:p w:rsidR="00BA184B" w:rsidRDefault="00BA184B" w:rsidP="00BA184B">
      <w:pPr>
        <w:bidi/>
        <w:spacing w:before="400"/>
        <w:jc w:val="left"/>
        <w:rPr>
          <w:rFonts w:ascii="Arial" w:eastAsia="Arial" w:hAnsi="Arial" w:cs="Arial" w:hint="cs"/>
          <w:b/>
          <w:bCs/>
          <w:color w:val="1F3864"/>
          <w:sz w:val="20"/>
          <w:rtl/>
        </w:rPr>
      </w:pPr>
    </w:p>
    <w:p w:rsidR="00BA184B" w:rsidRDefault="00BA184B" w:rsidP="00BA184B">
      <w:pPr>
        <w:bidi/>
        <w:spacing w:before="400"/>
        <w:jc w:val="left"/>
        <w:rPr>
          <w:rFonts w:ascii="Arial" w:eastAsia="Arial" w:hAnsi="Arial" w:cs="Arial" w:hint="cs"/>
          <w:b/>
          <w:bCs/>
          <w:color w:val="1F3864"/>
          <w:sz w:val="20"/>
          <w:rtl/>
        </w:rPr>
      </w:pPr>
    </w:p>
    <w:p w:rsidR="00BA184B" w:rsidRDefault="00BA184B" w:rsidP="00BA184B">
      <w:pPr>
        <w:bidi/>
        <w:spacing w:before="400"/>
        <w:jc w:val="left"/>
        <w:rPr>
          <w:rFonts w:ascii="Arial" w:eastAsia="Arial" w:hAnsi="Arial" w:cs="Arial" w:hint="cs"/>
          <w:b/>
          <w:bCs/>
          <w:color w:val="1F3864"/>
          <w:sz w:val="20"/>
          <w:rtl/>
        </w:rPr>
      </w:pPr>
    </w:p>
    <w:p w:rsidR="00BA184B" w:rsidRDefault="00BA184B" w:rsidP="00BA184B">
      <w:pPr>
        <w:bidi/>
        <w:spacing w:before="400"/>
        <w:jc w:val="left"/>
        <w:rPr>
          <w:rFonts w:ascii="Arial" w:eastAsia="Arial" w:hAnsi="Arial" w:cs="Arial" w:hint="cs"/>
          <w:b/>
          <w:bCs/>
          <w:color w:val="1F3864"/>
          <w:sz w:val="20"/>
          <w:rtl/>
        </w:rPr>
      </w:pPr>
    </w:p>
    <w:p w:rsidR="00BA184B" w:rsidRDefault="00BA184B" w:rsidP="00BA184B">
      <w:pPr>
        <w:bidi/>
        <w:spacing w:before="400"/>
        <w:jc w:val="left"/>
        <w:rPr>
          <w:rFonts w:ascii="Arial" w:eastAsia="Arial" w:hAnsi="Arial" w:cs="Arial" w:hint="cs"/>
          <w:b/>
          <w:bCs/>
          <w:color w:val="1F3864"/>
          <w:sz w:val="20"/>
          <w:rtl/>
        </w:rPr>
      </w:pPr>
    </w:p>
    <w:p w:rsidR="00BA184B" w:rsidRDefault="00BA184B" w:rsidP="00BA184B">
      <w:pPr>
        <w:bidi/>
        <w:jc w:val="center"/>
        <w:rPr>
          <w:rFonts w:ascii="Microsoft Sans Serif" w:hAnsi="Microsoft Sans Serif" w:cs="Microsoft Sans Serif"/>
          <w:b/>
          <w:bCs/>
          <w:sz w:val="36"/>
          <w:szCs w:val="36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1023620" cy="1003300"/>
            <wp:effectExtent l="19050" t="0" r="508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84B" w:rsidRDefault="00BA184B" w:rsidP="00BA184B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BA184B" w:rsidRDefault="00BA184B" w:rsidP="00BA184B">
      <w:pPr>
        <w:bidi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BA184B" w:rsidRDefault="00BA184B" w:rsidP="00BA184B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</w:p>
    <w:p w:rsidR="00BA184B" w:rsidRDefault="00BA184B" w:rsidP="00BA184B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BA184B" w:rsidRDefault="00BA184B" w:rsidP="00BA184B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color w:val="0000FF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t xml:space="preserve">) </w:t>
      </w:r>
    </w:p>
    <w:p w:rsidR="00BA184B" w:rsidRDefault="00BA184B" w:rsidP="00BA184B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</w:p>
    <w:p w:rsidR="00BA184B" w:rsidRDefault="00BA184B" w:rsidP="00BA184B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وتحت طائلة المسؤولية. </w:t>
      </w:r>
    </w:p>
    <w:p w:rsidR="00BA184B" w:rsidRDefault="00BA184B" w:rsidP="00BA184B">
      <w:pPr>
        <w:bidi/>
        <w:rPr>
          <w:rFonts w:asciiTheme="majorBidi" w:hAnsiTheme="majorBidi" w:cstheme="majorBidi"/>
          <w:b/>
          <w:bCs/>
          <w:sz w:val="40"/>
          <w:szCs w:val="40"/>
          <w:lang w:bidi="ar-JO"/>
        </w:rPr>
      </w:pPr>
    </w:p>
    <w:p w:rsidR="00BA184B" w:rsidRDefault="00BA184B" w:rsidP="00BA184B">
      <w:pPr>
        <w:bidi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BA184B" w:rsidRDefault="00BA184B" w:rsidP="00BA184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bidi/>
        <w:jc w:val="center"/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  <w:t xml:space="preserve">اعداد فريق موقع الايمان </w:t>
      </w:r>
    </w:p>
    <w:p w:rsidR="00BA184B" w:rsidRDefault="00BA184B" w:rsidP="00BA184B">
      <w:pPr>
        <w:bidi/>
        <w:jc w:val="center"/>
        <w:rPr>
          <w:rFonts w:ascii="Microsoft Sans Serif" w:eastAsia="Arial" w:hAnsi="Microsoft Sans Serif" w:cs="Microsoft Sans Serif"/>
          <w:b/>
          <w:bCs/>
          <w:sz w:val="28"/>
          <w:szCs w:val="28"/>
          <w:rtl/>
          <w:lang w:bidi="ar-JO"/>
        </w:rPr>
      </w:pPr>
    </w:p>
    <w:p w:rsidR="00BA184B" w:rsidRDefault="00BA184B" w:rsidP="00BA184B">
      <w:pPr>
        <w:bidi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BA184B" w:rsidRDefault="00BA184B" w:rsidP="00BA184B">
      <w:pPr>
        <w:bidi/>
        <w:spacing w:before="400"/>
        <w:jc w:val="left"/>
        <w:rPr>
          <w:rFonts w:ascii="Arial" w:eastAsia="Arial" w:hAnsi="Arial" w:cs="Arial" w:hint="cs"/>
          <w:b/>
          <w:bCs/>
          <w:color w:val="1F3864"/>
          <w:sz w:val="20"/>
          <w:rtl/>
        </w:rPr>
      </w:pPr>
    </w:p>
    <w:p w:rsidR="00BA184B" w:rsidRDefault="00BA184B" w:rsidP="00BA184B">
      <w:pPr>
        <w:bidi/>
        <w:spacing w:before="400"/>
        <w:jc w:val="left"/>
        <w:rPr>
          <w:rFonts w:ascii="Arial" w:eastAsia="Arial" w:hAnsi="Arial" w:cs="Arial" w:hint="cs"/>
          <w:b/>
          <w:bCs/>
          <w:color w:val="1F3864"/>
          <w:sz w:val="20"/>
          <w:rtl/>
        </w:rPr>
      </w:pPr>
    </w:p>
    <w:p w:rsidR="00BA184B" w:rsidRDefault="00BA184B" w:rsidP="00BA184B">
      <w:pPr>
        <w:bidi/>
        <w:spacing w:before="400"/>
        <w:jc w:val="left"/>
        <w:rPr>
          <w:rFonts w:ascii="Arial" w:eastAsia="Arial" w:hAnsi="Arial" w:cs="Arial" w:hint="cs"/>
          <w:b/>
          <w:bCs/>
          <w:color w:val="1F3864"/>
          <w:sz w:val="20"/>
          <w:rtl/>
        </w:rPr>
      </w:pPr>
    </w:p>
    <w:p w:rsidR="00BA184B" w:rsidRDefault="00BA184B" w:rsidP="00BA184B">
      <w:pPr>
        <w:bidi/>
        <w:spacing w:before="400"/>
        <w:jc w:val="left"/>
        <w:rPr>
          <w:rFonts w:ascii="Arial" w:eastAsia="Arial" w:hAnsi="Arial" w:cs="Arial" w:hint="cs"/>
          <w:b/>
          <w:bCs/>
          <w:color w:val="1F3864"/>
          <w:sz w:val="20"/>
          <w:rtl/>
        </w:rPr>
      </w:pPr>
    </w:p>
    <w:p w:rsidR="00BA184B" w:rsidRDefault="00BA184B" w:rsidP="00BA184B">
      <w:pPr>
        <w:bidi/>
        <w:spacing w:before="400"/>
        <w:jc w:val="left"/>
        <w:rPr>
          <w:rFonts w:ascii="Arial" w:eastAsia="Arial" w:hAnsi="Arial" w:cs="Arial" w:hint="cs"/>
          <w:b/>
          <w:bCs/>
          <w:color w:val="1F3864"/>
          <w:sz w:val="20"/>
          <w:rtl/>
        </w:rPr>
      </w:pPr>
    </w:p>
    <w:p w:rsidR="00BA184B" w:rsidRDefault="00BA184B" w:rsidP="00BA184B">
      <w:pPr>
        <w:bidi/>
        <w:spacing w:before="400"/>
        <w:jc w:val="left"/>
        <w:rPr>
          <w:rFonts w:ascii="Arial" w:eastAsia="Arial" w:hAnsi="Arial" w:cs="Arial" w:hint="cs"/>
          <w:b/>
          <w:bCs/>
          <w:color w:val="1F3864"/>
          <w:sz w:val="20"/>
          <w:rtl/>
        </w:rPr>
      </w:pPr>
    </w:p>
    <w:p w:rsidR="00BA184B" w:rsidRDefault="00BA184B" w:rsidP="00BA184B">
      <w:pPr>
        <w:bidi/>
        <w:spacing w:before="400"/>
        <w:jc w:val="left"/>
        <w:rPr>
          <w:rFonts w:ascii="Arial" w:eastAsia="Arial" w:hAnsi="Arial" w:cs="Arial" w:hint="cs"/>
          <w:b/>
          <w:bCs/>
          <w:color w:val="1F3864"/>
          <w:sz w:val="20"/>
          <w:rtl/>
        </w:rPr>
      </w:pPr>
    </w:p>
    <w:p w:rsidR="00BA184B" w:rsidRDefault="00BA184B" w:rsidP="00BA184B">
      <w:pPr>
        <w:bidi/>
        <w:spacing w:before="400"/>
        <w:jc w:val="left"/>
      </w:pPr>
    </w:p>
    <w:sectPr w:rsidR="00BA184B" w:rsidSect="00213323">
      <w:footerReference w:type="default" r:id="rId8"/>
      <w:pgSz w:w="11906" w:h="16838" w:orient="landscape"/>
      <w:pgMar w:top="900" w:right="700" w:bottom="900" w:left="70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0EF" w:rsidRDefault="007A40EF" w:rsidP="00BA184B">
      <w:r>
        <w:separator/>
      </w:r>
    </w:p>
  </w:endnote>
  <w:endnote w:type="continuationSeparator" w:id="1">
    <w:p w:rsidR="007A40EF" w:rsidRDefault="007A40EF" w:rsidP="00BA1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84B" w:rsidRDefault="00BA184B">
    <w:pPr>
      <w:pStyle w:val="aa"/>
      <w:rPr>
        <w:rFonts w:hint="cs"/>
        <w:lang w:bidi="ar-JO"/>
      </w:rPr>
    </w:pPr>
    <w:r>
      <w:rPr>
        <w:rFonts w:hint="cs"/>
        <w:rtl/>
        <w:lang w:bidi="ar-JO"/>
      </w:rPr>
      <w:t xml:space="preserve">موقع الايمان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0EF" w:rsidRDefault="007A40EF" w:rsidP="00BA184B">
      <w:r>
        <w:separator/>
      </w:r>
    </w:p>
  </w:footnote>
  <w:footnote w:type="continuationSeparator" w:id="1">
    <w:p w:rsidR="007A40EF" w:rsidRDefault="007A40EF" w:rsidP="00BA18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FFFFFFFF"/>
    <w:lvl w:ilvl="0" w:tplc="7CE4943C" w:tentative="1">
      <w:start w:val="1"/>
      <w:numFmt w:val="bullet"/>
      <w:lvlText w:val="●"/>
      <w:lvlJc w:val="left"/>
      <w:pPr>
        <w:ind w:left="720" w:hanging="360"/>
      </w:pPr>
    </w:lvl>
    <w:lvl w:ilvl="1" w:tplc="5CCC7FD2" w:tentative="1">
      <w:start w:val="1"/>
      <w:numFmt w:val="bullet"/>
      <w:lvlText w:val="○"/>
      <w:lvlJc w:val="left"/>
      <w:pPr>
        <w:ind w:left="1440" w:hanging="360"/>
      </w:pPr>
    </w:lvl>
    <w:lvl w:ilvl="2" w:tplc="18EC813A" w:tentative="1">
      <w:start w:val="1"/>
      <w:numFmt w:val="bullet"/>
      <w:lvlText w:val="■"/>
      <w:lvlJc w:val="left"/>
      <w:pPr>
        <w:ind w:left="2160" w:hanging="360"/>
      </w:pPr>
    </w:lvl>
    <w:lvl w:ilvl="3" w:tplc="2020D8C0" w:tentative="1">
      <w:start w:val="1"/>
      <w:numFmt w:val="bullet"/>
      <w:lvlText w:val="●"/>
      <w:lvlJc w:val="left"/>
      <w:pPr>
        <w:ind w:left="2880" w:hanging="360"/>
      </w:pPr>
    </w:lvl>
    <w:lvl w:ilvl="4" w:tplc="CCDA3AB8" w:tentative="1">
      <w:start w:val="1"/>
      <w:numFmt w:val="bullet"/>
      <w:lvlText w:val="○"/>
      <w:lvlJc w:val="left"/>
      <w:pPr>
        <w:ind w:left="3600" w:hanging="360"/>
      </w:pPr>
    </w:lvl>
    <w:lvl w:ilvl="5" w:tplc="3672254C" w:tentative="1">
      <w:start w:val="1"/>
      <w:numFmt w:val="bullet"/>
      <w:lvlText w:val="■"/>
      <w:lvlJc w:val="left"/>
      <w:pPr>
        <w:ind w:left="4320" w:hanging="360"/>
      </w:pPr>
    </w:lvl>
    <w:lvl w:ilvl="6" w:tplc="5A2CE0AC" w:tentative="1">
      <w:start w:val="1"/>
      <w:numFmt w:val="bullet"/>
      <w:lvlText w:val="●"/>
      <w:lvlJc w:val="left"/>
      <w:pPr>
        <w:ind w:left="5040" w:hanging="360"/>
      </w:pPr>
    </w:lvl>
    <w:lvl w:ilvl="7" w:tplc="E04693AA" w:tentative="1">
      <w:start w:val="1"/>
      <w:numFmt w:val="bullet"/>
      <w:lvlText w:val="●"/>
      <w:lvlJc w:val="left"/>
      <w:pPr>
        <w:ind w:left="5760" w:hanging="360"/>
      </w:pPr>
    </w:lvl>
    <w:lvl w:ilvl="8" w:tplc="8850E8C6" w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3323"/>
    <w:rsid w:val="00213323"/>
    <w:rsid w:val="007A40EF"/>
    <w:rsid w:val="00BA1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3323"/>
    <w:pPr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213323"/>
    <w:rPr>
      <w:sz w:val="56"/>
      <w:szCs w:val="56"/>
    </w:rPr>
  </w:style>
  <w:style w:type="paragraph" w:customStyle="1" w:styleId="Heading1">
    <w:name w:val="Heading 1"/>
    <w:qFormat/>
    <w:rsid w:val="00213323"/>
    <w:rPr>
      <w:color w:val="2E74B5"/>
      <w:sz w:val="32"/>
      <w:szCs w:val="32"/>
    </w:rPr>
  </w:style>
  <w:style w:type="paragraph" w:customStyle="1" w:styleId="Heading2">
    <w:name w:val="Heading 2"/>
    <w:qFormat/>
    <w:rsid w:val="00213323"/>
    <w:rPr>
      <w:color w:val="2E74B5"/>
      <w:sz w:val="26"/>
      <w:szCs w:val="26"/>
    </w:rPr>
  </w:style>
  <w:style w:type="paragraph" w:customStyle="1" w:styleId="Heading3">
    <w:name w:val="Heading 3"/>
    <w:qFormat/>
    <w:rsid w:val="00213323"/>
    <w:rPr>
      <w:color w:val="1F4D78"/>
      <w:sz w:val="24"/>
      <w:szCs w:val="24"/>
    </w:rPr>
  </w:style>
  <w:style w:type="paragraph" w:customStyle="1" w:styleId="Heading4">
    <w:name w:val="Heading 4"/>
    <w:qFormat/>
    <w:rsid w:val="00213323"/>
    <w:rPr>
      <w:i/>
      <w:iCs/>
      <w:color w:val="2E74B5"/>
    </w:rPr>
  </w:style>
  <w:style w:type="paragraph" w:customStyle="1" w:styleId="Heading5">
    <w:name w:val="Heading 5"/>
    <w:qFormat/>
    <w:rsid w:val="00213323"/>
    <w:rPr>
      <w:color w:val="2E74B5"/>
    </w:rPr>
  </w:style>
  <w:style w:type="paragraph" w:customStyle="1" w:styleId="Heading6">
    <w:name w:val="Heading 6"/>
    <w:qFormat/>
    <w:rsid w:val="00213323"/>
    <w:rPr>
      <w:color w:val="1F4D78"/>
    </w:rPr>
  </w:style>
  <w:style w:type="paragraph" w:customStyle="1" w:styleId="Strong4f214326-bd95-42b2-a3ce-47fcb696b462">
    <w:name w:val="Strong_4f214326-bd95-42b2-a3ce-47fcb696b462"/>
    <w:qFormat/>
    <w:rsid w:val="00213323"/>
    <w:rPr>
      <w:b/>
      <w:bCs/>
    </w:rPr>
  </w:style>
  <w:style w:type="paragraph" w:styleId="a4">
    <w:name w:val="List Paragraph"/>
    <w:qFormat/>
    <w:rsid w:val="00213323"/>
  </w:style>
  <w:style w:type="character" w:styleId="Hyperlink">
    <w:name w:val="Hyperlink"/>
    <w:uiPriority w:val="99"/>
    <w:rsid w:val="00213323"/>
    <w:rPr>
      <w:color w:val="0563C1"/>
      <w:u w:val="single"/>
    </w:rPr>
  </w:style>
  <w:style w:type="character" w:styleId="a5">
    <w:name w:val="footnote reference"/>
    <w:uiPriority w:val="99"/>
    <w:rsid w:val="00213323"/>
    <w:rPr>
      <w:vertAlign w:val="superscript"/>
    </w:rPr>
  </w:style>
  <w:style w:type="paragraph" w:styleId="a6">
    <w:name w:val="footnote text"/>
    <w:link w:val="Char"/>
    <w:uiPriority w:val="99"/>
    <w:rsid w:val="00213323"/>
  </w:style>
  <w:style w:type="character" w:customStyle="1" w:styleId="Char">
    <w:name w:val="نص حاشية سفلية Char"/>
    <w:link w:val="a6"/>
    <w:uiPriority w:val="99"/>
    <w:rsid w:val="00213323"/>
    <w:rPr>
      <w:sz w:val="20"/>
      <w:szCs w:val="20"/>
    </w:rPr>
  </w:style>
  <w:style w:type="character" w:styleId="a7">
    <w:name w:val="endnote reference"/>
    <w:uiPriority w:val="99"/>
    <w:rsid w:val="00213323"/>
    <w:rPr>
      <w:vertAlign w:val="superscript"/>
    </w:rPr>
  </w:style>
  <w:style w:type="paragraph" w:styleId="a8">
    <w:name w:val="endnote text"/>
    <w:link w:val="Char0"/>
    <w:uiPriority w:val="99"/>
    <w:rsid w:val="00213323"/>
  </w:style>
  <w:style w:type="character" w:customStyle="1" w:styleId="Char0">
    <w:name w:val="نص تعليق ختامي Char"/>
    <w:link w:val="a8"/>
    <w:uiPriority w:val="99"/>
    <w:rsid w:val="00213323"/>
    <w:rPr>
      <w:sz w:val="20"/>
      <w:szCs w:val="20"/>
    </w:rPr>
  </w:style>
  <w:style w:type="paragraph" w:styleId="a9">
    <w:name w:val="header"/>
    <w:basedOn w:val="a"/>
    <w:link w:val="Char1"/>
    <w:uiPriority w:val="99"/>
    <w:semiHidden/>
    <w:unhideWhenUsed/>
    <w:rsid w:val="00BA184B"/>
    <w:pPr>
      <w:tabs>
        <w:tab w:val="center" w:pos="4680"/>
        <w:tab w:val="right" w:pos="9360"/>
      </w:tabs>
    </w:pPr>
  </w:style>
  <w:style w:type="character" w:customStyle="1" w:styleId="Char1">
    <w:name w:val="رأس صفحة Char"/>
    <w:basedOn w:val="a0"/>
    <w:link w:val="a9"/>
    <w:uiPriority w:val="99"/>
    <w:semiHidden/>
    <w:rsid w:val="00BA184B"/>
    <w:rPr>
      <w:sz w:val="21"/>
    </w:rPr>
  </w:style>
  <w:style w:type="paragraph" w:styleId="aa">
    <w:name w:val="footer"/>
    <w:basedOn w:val="a"/>
    <w:link w:val="Char2"/>
    <w:uiPriority w:val="99"/>
    <w:semiHidden/>
    <w:unhideWhenUsed/>
    <w:rsid w:val="00BA184B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a"/>
    <w:uiPriority w:val="99"/>
    <w:semiHidden/>
    <w:rsid w:val="00BA184B"/>
    <w:rPr>
      <w:sz w:val="21"/>
    </w:rPr>
  </w:style>
  <w:style w:type="paragraph" w:styleId="ab">
    <w:name w:val="Balloon Text"/>
    <w:basedOn w:val="a"/>
    <w:link w:val="Char3"/>
    <w:uiPriority w:val="99"/>
    <w:semiHidden/>
    <w:unhideWhenUsed/>
    <w:rsid w:val="00BA184B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BA18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9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772</Words>
  <Characters>4402</Characters>
  <Application>Microsoft Office Word</Application>
  <DocSecurity>0</DocSecurity>
  <Lines>36</Lines>
  <Paragraphs>10</Paragraphs>
  <ScaleCrop>false</ScaleCrop>
  <Company/>
  <LinksUpToDate>false</LinksUpToDate>
  <CharactersWithSpaces>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ALEAMN</cp:lastModifiedBy>
  <cp:revision>3</cp:revision>
  <dcterms:created xsi:type="dcterms:W3CDTF">2026-08-31T13:02:00Z</dcterms:created>
  <dcterms:modified xsi:type="dcterms:W3CDTF">2026-08-31T03:48:00Z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cf77f8b6cabe48c0a4f566379fe51e9a_23</vt:lpwstr>
  </property>
</Properties>
</file>