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B1347E33">
      <w:pPr>
        <w:pStyle w:val="style1"/>
        <w:bidi/>
        <w:rPr/>
      </w:pPr>
      <w:r>
        <w:rPr>
          <w:rFonts w:hint="cs"/>
          <w:rtl/>
          <w:lang w:bidi="ar-DZ"/>
        </w:rPr>
        <w:t xml:space="preserve">خطة النشاط الحر </w:t>
      </w:r>
      <w:r>
        <w:rPr>
          <w:rtl/>
        </w:rPr>
        <w:t xml:space="preserve"> – المجال الفني</w:t>
      </w:r>
    </w:p>
    <w:p w14:paraId="9F9E987C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rPr>
          <w:b/>
          <w:bCs/>
        </w:rPr>
      </w:pPr>
      <w:r>
        <w:rPr>
          <w:b/>
          <w:bCs/>
          <w:rtl/>
        </w:rPr>
        <w:t>استناداً إلى دليل الأنشطة المدرسية الصادر عن المركز الوطني لتطوير المناهج ووزارة التربية والتعليم</w:t>
      </w:r>
    </w:p>
    <w:p w14:paraId="A0FEF4A7">
      <w:pPr>
        <w:pStyle w:val="style2"/>
        <w:bidi/>
        <w:rPr/>
      </w:pPr>
      <w:r>
        <w:rPr/>
        <w:pict>
          <v:rect id="1026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  <w:r>
        <w:rPr>
          <w:rtl/>
        </w:rPr>
        <w:t>أولاً: بطاقة تعريف الخطة والمؤشرات العامة</w:t>
      </w:r>
    </w:p>
    <w:tbl>
      <w:tblPr>
        <w:tblStyle w:val="style4099"/>
        <w:tblW w:w="9360" w:type="dxa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14:paraId="7566B6DA">
        <w:trPr>
          <w:cantSplit/>
          <w:tblHeader/>
        </w:trPr>
        <w:tc>
          <w:tcPr>
            <w:tcW w:w="2340" w:type="dxa"/>
            <w:tcBorders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FDD8F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>
                <w:b/>
                <w:bCs/>
              </w:rPr>
            </w:pPr>
            <w:r>
              <w:rPr>
                <w:b/>
                <w:bCs/>
                <w:rtl/>
              </w:rPr>
              <w:t>المجال الرئيسي</w:t>
            </w:r>
          </w:p>
        </w:tc>
        <w:tc>
          <w:tcPr>
            <w:tcW w:w="2340" w:type="dxa"/>
            <w:tcBorders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93F39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>
                <w:b/>
                <w:bCs/>
              </w:rPr>
            </w:pPr>
            <w:r>
              <w:rPr>
                <w:b/>
                <w:bCs/>
                <w:rtl/>
              </w:rPr>
              <w:t>الفئة المستهدفة</w:t>
            </w:r>
          </w:p>
        </w:tc>
        <w:tc>
          <w:tcPr>
            <w:tcW w:w="2340" w:type="dxa"/>
            <w:tcBorders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9B1E927F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>
                <w:b/>
                <w:bCs/>
              </w:rPr>
            </w:pPr>
            <w:r>
              <w:rPr>
                <w:b/>
                <w:bCs/>
                <w:rtl/>
              </w:rPr>
              <w:t>عدد الأنشطة الرئيسية</w:t>
            </w:r>
          </w:p>
        </w:tc>
        <w:tc>
          <w:tcPr>
            <w:tcW w:w="2340" w:type="dxa"/>
            <w:tcBorders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A6072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إجمالي الحصص </w:t>
            </w:r>
            <w:r>
              <w:rPr>
                <w:b/>
                <w:bCs/>
                <w:rtl/>
              </w:rPr>
              <w:t>المخصصة</w:t>
            </w:r>
          </w:p>
        </w:tc>
      </w:tr>
      <w:tr w14:paraId="148A17A1">
        <w:tblPrEx/>
        <w:trPr>
          <w:cantSplit/>
          <w:tblHeader/>
        </w:trPr>
        <w:tc>
          <w:tcPr>
            <w:tcW w:w="2340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AFDCF640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rtl/>
              </w:rPr>
              <w:t>المجال الفني (التشكيلي والتطبيقي والمرئي</w:t>
            </w:r>
            <w:r>
              <w:t>) [cite: 5, 13, 19, 30]</w:t>
            </w:r>
          </w:p>
        </w:tc>
        <w:tc>
          <w:tcPr>
            <w:tcW w:w="2340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39041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rtl/>
              </w:rPr>
              <w:t>جميع الصفوف والمستويات الدراسية</w:t>
            </w:r>
            <w:r>
              <w:t xml:space="preserve"> [cite: 4]</w:t>
            </w:r>
          </w:p>
        </w:tc>
        <w:tc>
          <w:tcPr>
            <w:tcW w:w="2340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244C7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t xml:space="preserve">7 </w:t>
            </w:r>
            <w:r>
              <w:rPr>
                <w:rtl/>
              </w:rPr>
              <w:t>أنشطة شاملة</w:t>
            </w:r>
            <w:r>
              <w:t xml:space="preserve"> [cite: 1]</w:t>
            </w:r>
          </w:p>
        </w:tc>
        <w:tc>
          <w:tcPr>
            <w:tcW w:w="2340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D4A90C96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t xml:space="preserve">34 </w:t>
            </w:r>
            <w:r>
              <w:rPr>
                <w:rtl/>
              </w:rPr>
              <w:t>حصة نشاط سنوية</w:t>
            </w:r>
            <w:r>
              <w:t xml:space="preserve"> [cite: 14, 16, 19, 22, 25, 28, 31]</w:t>
            </w:r>
          </w:p>
        </w:tc>
      </w:tr>
    </w:tbl>
    <w:p w14:paraId="31D2E3F0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225"/>
        <w:rPr/>
      </w:pPr>
    </w:p>
    <w:p w14:paraId="4AEC56A6">
      <w:pPr>
        <w:pStyle w:val="style2"/>
        <w:bidi/>
        <w:rPr/>
      </w:pPr>
      <w:r>
        <w:rPr>
          <w:rtl/>
        </w:rPr>
        <w:t>ثانياً: الأهداف العامة والكفايات المستهدفة</w:t>
      </w:r>
    </w:p>
    <w:p w14:paraId="A6E24B2B">
      <w:pPr>
        <w:pStyle w:val="style4098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rPr/>
      </w:pPr>
      <w:r>
        <w:rPr>
          <w:b/>
          <w:bCs/>
          <w:rtl/>
        </w:rPr>
        <w:t>الأهداف العامة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تزويد الطلبة بالمعرفة بالفنون التطبيقية والتشكيلية، اكتشاف المواهب وصقلها، غرس القيم الجمالية، وتوجيه السلوك على أسس فنية</w:t>
      </w:r>
      <w:r>
        <w:t xml:space="preserve"> .</w:t>
      </w:r>
    </w:p>
    <w:p w14:paraId="EA646C05">
      <w:pPr>
        <w:pStyle w:val="style4098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rPr/>
      </w:pPr>
      <w:r>
        <w:rPr>
          <w:b/>
          <w:bCs/>
          <w:rtl/>
        </w:rPr>
        <w:t>الكفايات المعرفية والوظيفية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تطوير مهارات التفكير النقدي، التحليل، التقصي والبحث، التعبير اللغوي والتواصل، والتفكير الإبداع</w:t>
      </w:r>
      <w:r>
        <w:rPr>
          <w:rtl/>
        </w:rPr>
        <w:t>ي والابتكار</w:t>
      </w:r>
      <w:r>
        <w:t xml:space="preserve"> .</w:t>
      </w:r>
    </w:p>
    <w:p w14:paraId="96B40BE9">
      <w:pPr>
        <w:pStyle w:val="style4098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rPr/>
      </w:pPr>
      <w:r>
        <w:rPr>
          <w:b/>
          <w:bCs/>
          <w:rtl/>
        </w:rPr>
        <w:t>الكفايات الانفعالية والقيمية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غرس التذوق الجمالي، الاعتزاز بالهوية والتراث العربي، الحفاظ على البيئة، والعمل الجماعي بروح الفريق</w:t>
      </w:r>
      <w:r>
        <w:rPr>
          <w:rtl/>
          <w:lang w:val="en-US"/>
        </w:rPr>
        <w:t xml:space="preserve">. </w:t>
      </w:r>
    </w:p>
    <w:p w14:paraId="8F5A08E8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225"/>
        <w:rPr/>
      </w:pPr>
    </w:p>
    <w:p w14:paraId="5C1E7ABE">
      <w:pPr>
        <w:pStyle w:val="style2"/>
        <w:bidi/>
        <w:rPr/>
      </w:pPr>
      <w:r>
        <w:rPr>
          <w:rtl/>
        </w:rPr>
        <w:t>ثالثاً: التوزيع الزمني والتنفيذي للأنشطة السنوية (جدول الخطة الشاملة</w:t>
      </w:r>
      <w:r>
        <w:t>)</w:t>
      </w:r>
    </w:p>
    <w:tbl>
      <w:tblPr>
        <w:tblStyle w:val="style4100"/>
        <w:tblW w:w="9360" w:type="dxa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38"/>
        <w:gridCol w:w="1337"/>
        <w:gridCol w:w="1337"/>
        <w:gridCol w:w="1337"/>
        <w:gridCol w:w="1337"/>
        <w:gridCol w:w="1419"/>
        <w:gridCol w:w="1255"/>
      </w:tblGrid>
      <w:tr w14:paraId="24535E8D">
        <w:trPr>
          <w:cantSplit/>
          <w:tblHeader/>
        </w:trPr>
        <w:tc>
          <w:tcPr>
            <w:tcW w:w="1337" w:type="dxa"/>
            <w:tcBorders/>
            <w:shd w:val="clear" w:color="auto" w:fill="e6f2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0F39B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1337" w:type="dxa"/>
            <w:tcBorders/>
            <w:shd w:val="clear" w:color="auto" w:fill="e6f2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8D6B20BC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>
                <w:b/>
                <w:bCs/>
              </w:rPr>
            </w:pPr>
            <w:r>
              <w:rPr>
                <w:b/>
                <w:bCs/>
                <w:rtl/>
              </w:rPr>
              <w:t>اسم النشاط</w:t>
            </w:r>
          </w:p>
        </w:tc>
        <w:tc>
          <w:tcPr>
            <w:tcW w:w="1337" w:type="dxa"/>
            <w:tcBorders/>
            <w:shd w:val="clear" w:color="auto" w:fill="e6f2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1F33D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 (الحصص</w:t>
            </w:r>
            <w:r>
              <w:rPr>
                <w:b/>
                <w:bCs/>
              </w:rPr>
              <w:t>)</w:t>
            </w:r>
          </w:p>
        </w:tc>
        <w:tc>
          <w:tcPr>
            <w:tcW w:w="1337" w:type="dxa"/>
            <w:tcBorders/>
            <w:shd w:val="clear" w:color="auto" w:fill="e6f2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7ADFF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>
                <w:b/>
                <w:bCs/>
              </w:rPr>
            </w:pPr>
            <w:r>
              <w:rPr>
                <w:b/>
                <w:bCs/>
                <w:rtl/>
              </w:rPr>
              <w:t>الكفايات والنتاجات المتوقعة</w:t>
            </w:r>
          </w:p>
        </w:tc>
        <w:tc>
          <w:tcPr>
            <w:tcW w:w="1337" w:type="dxa"/>
            <w:tcBorders/>
            <w:shd w:val="clear" w:color="auto" w:fill="e6f2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D82F1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>
                <w:b/>
                <w:bCs/>
              </w:rPr>
            </w:pPr>
            <w:r>
              <w:rPr>
                <w:b/>
                <w:bCs/>
                <w:rtl/>
              </w:rPr>
              <w:t>الأدوات والمواد اللازمة</w:t>
            </w:r>
          </w:p>
        </w:tc>
        <w:tc>
          <w:tcPr>
            <w:tcW w:w="1419" w:type="dxa"/>
            <w:tcBorders/>
            <w:shd w:val="clear" w:color="auto" w:fill="e6f2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E9C96594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>
                <w:b/>
                <w:bCs/>
              </w:rPr>
            </w:pPr>
            <w:r>
              <w:rPr>
                <w:b/>
                <w:bCs/>
                <w:rtl/>
              </w:rPr>
              <w:t>إجراءات التنفيذ</w:t>
            </w:r>
          </w:p>
        </w:tc>
        <w:tc>
          <w:tcPr>
            <w:tcW w:w="1255" w:type="dxa"/>
            <w:tcBorders/>
            <w:shd w:val="clear" w:color="auto" w:fill="e6f2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CAD7D8CD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وأدوات التقويم</w:t>
            </w:r>
          </w:p>
        </w:tc>
      </w:tr>
      <w:tr w14:paraId="8B91AE78">
        <w:tblPrEx/>
        <w:trPr>
          <w:cantSplit/>
          <w:tblHeader/>
        </w:trPr>
        <w:tc>
          <w:tcPr>
            <w:tcW w:w="1337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C7C89DC2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337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C1CB7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b/>
                <w:bCs/>
                <w:rtl/>
              </w:rPr>
              <w:t>لوحة وفنان</w:t>
            </w:r>
            <w:r>
              <w:t xml:space="preserve"> </w:t>
            </w:r>
          </w:p>
        </w:tc>
        <w:tc>
          <w:tcPr>
            <w:tcW w:w="1337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D527A836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t xml:space="preserve">4 </w:t>
            </w:r>
            <w:r>
              <w:rPr>
                <w:rtl/>
              </w:rPr>
              <w:t>حصص</w:t>
            </w:r>
            <w:r>
              <w:t xml:space="preserve">  </w:t>
            </w:r>
          </w:p>
        </w:tc>
        <w:tc>
          <w:tcPr>
            <w:tcW w:w="1337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D0B2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rtl/>
              </w:rPr>
              <w:t xml:space="preserve">معرفة اللوحات والمدارس الفنية المحلية والعالمية، تتبع قصص اللوحات، تنمية التفكير التحليلي </w:t>
            </w:r>
            <w:r>
              <w:rPr>
                <w:rtl/>
              </w:rPr>
              <w:t>والتذوق</w:t>
            </w:r>
            <w:r>
              <w:t xml:space="preserve"> .</w:t>
            </w:r>
          </w:p>
        </w:tc>
        <w:tc>
          <w:tcPr>
            <w:tcW w:w="1337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E061B3B5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rtl/>
              </w:rPr>
              <w:t>القاعة الصفية، لوحات فنية مختلفة، أقلام، قطع كرتون بيضاء صغيرة</w:t>
            </w:r>
            <w:r>
              <w:t xml:space="preserve"> </w:t>
            </w:r>
          </w:p>
        </w:tc>
        <w:tc>
          <w:tcPr>
            <w:tcW w:w="1419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C64E7DD5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rtl/>
              </w:rPr>
              <w:t>عرض لوحات فنية، تقسيم الطلبة لفرق، ربط قطع الكرتون الحاوية لأسماء الفنانين باللوحات المناسبة، وتداول النقاش حول 3 لوحات</w:t>
            </w:r>
            <w:r>
              <w:t xml:space="preserve"> </w:t>
            </w:r>
          </w:p>
        </w:tc>
        <w:tc>
          <w:tcPr>
            <w:tcW w:w="1255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97030DDE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rtl/>
              </w:rPr>
              <w:t>التقويم المعتمد على ا</w:t>
            </w:r>
            <w:r>
              <w:rPr>
                <w:rtl/>
              </w:rPr>
              <w:t>لأداء، التغذية الراجعة، ملف الطالب، السجل القصصي للم</w:t>
            </w:r>
            <w:r>
              <w:rPr>
                <w:rFonts w:hint="cs"/>
                <w:rtl/>
                <w:lang w:bidi="ar-DZ"/>
              </w:rPr>
              <w:t xml:space="preserve">علم </w:t>
            </w:r>
            <w:r>
              <w:t>, .</w:t>
            </w:r>
          </w:p>
        </w:tc>
      </w:tr>
      <w:tr w14:paraId="7EB953FE">
        <w:tblPrEx/>
        <w:trPr>
          <w:cantSplit/>
          <w:tblHeader/>
        </w:trPr>
        <w:tc>
          <w:tcPr>
            <w:tcW w:w="1337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8E1A9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337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B0D2E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b/>
                <w:bCs/>
                <w:rtl/>
              </w:rPr>
              <w:t>خط عربي ولوحة</w:t>
            </w:r>
            <w:r>
              <w:t xml:space="preserve"> </w:t>
            </w:r>
          </w:p>
        </w:tc>
        <w:tc>
          <w:tcPr>
            <w:tcW w:w="1337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9C8F427B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t xml:space="preserve">4 </w:t>
            </w:r>
            <w:r>
              <w:rPr>
                <w:rtl/>
              </w:rPr>
              <w:t>حصص</w:t>
            </w:r>
            <w:r>
              <w:t xml:space="preserve"> </w:t>
            </w:r>
          </w:p>
        </w:tc>
        <w:tc>
          <w:tcPr>
            <w:tcW w:w="1337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842F2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rtl/>
              </w:rPr>
              <w:t>التعرف على أنواع الخطوط العربية وخصائصها، إدراك دور الخط في الفن التشكيلي، الاعتزاز بالهوية</w:t>
            </w:r>
            <w:r>
              <w:t xml:space="preserve"> .</w:t>
            </w:r>
          </w:p>
        </w:tc>
        <w:tc>
          <w:tcPr>
            <w:tcW w:w="1337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3A749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rtl/>
              </w:rPr>
              <w:t>لوحات بيضاء، أقلام ملونة، أقلام</w:t>
            </w:r>
            <w:r>
              <w:rPr>
                <w:rtl/>
              </w:rPr>
              <w:t xml:space="preserve"> فحم أسود</w:t>
            </w:r>
            <w:r>
              <w:t xml:space="preserve"> </w:t>
            </w:r>
          </w:p>
        </w:tc>
        <w:tc>
          <w:tcPr>
            <w:tcW w:w="1419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CB3F5645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rtl/>
              </w:rPr>
              <w:t>الاطلاع على نماذج خطوط، رسم أشكال طبيعية أو حية باستخدام الخط العربي، تقديم عروض وشرح خصائص الخط</w:t>
            </w:r>
            <w:r>
              <w:t xml:space="preserve"> </w:t>
            </w:r>
          </w:p>
        </w:tc>
        <w:tc>
          <w:tcPr>
            <w:tcW w:w="1255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E40AFA25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rtl/>
              </w:rPr>
              <w:t>تقويم واقعي، ملاحظة وتواصل، سجل الطالب الفوتوغرافي، السجل القصصي</w:t>
            </w:r>
            <w:r>
              <w:t xml:space="preserve"> </w:t>
            </w:r>
          </w:p>
        </w:tc>
      </w:tr>
      <w:tr w14:paraId="4E27C81D">
        <w:tblPrEx/>
        <w:trPr>
          <w:cantSplit/>
          <w:tblHeader/>
        </w:trPr>
        <w:tc>
          <w:tcPr>
            <w:tcW w:w="1337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284D1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337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C53A690C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b/>
                <w:bCs/>
                <w:rtl/>
              </w:rPr>
              <w:t>التشكيل بالطين - الصلصال</w:t>
            </w:r>
            <w:r>
              <w:t xml:space="preserve"> [cite: 19]</w:t>
            </w:r>
          </w:p>
        </w:tc>
        <w:tc>
          <w:tcPr>
            <w:tcW w:w="1337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D93FF46D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t xml:space="preserve">5 </w:t>
            </w:r>
            <w:r>
              <w:rPr>
                <w:rtl/>
              </w:rPr>
              <w:t>حصص</w:t>
            </w:r>
            <w:r>
              <w:t xml:space="preserve"> [</w:t>
            </w:r>
            <w:r>
              <w:t>cite: 19]</w:t>
            </w:r>
          </w:p>
        </w:tc>
        <w:tc>
          <w:tcPr>
            <w:tcW w:w="1337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12775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rtl/>
              </w:rPr>
              <w:t>إتقان الفن اليدوي التطبيقي، تنمية المهارات الحركية الدقيقة والتناسق البصري الحركي، التعبير بالصلصال</w:t>
            </w:r>
            <w:r>
              <w:t xml:space="preserve"> [cite: 19].</w:t>
            </w:r>
          </w:p>
        </w:tc>
        <w:tc>
          <w:tcPr>
            <w:tcW w:w="1337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EB0F9C19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rtl/>
              </w:rPr>
              <w:t>عجينة الصلصال / الطين بألوان وأحجام مختلفة</w:t>
            </w:r>
            <w:r>
              <w:t xml:space="preserve"> [cite: 19, 20].</w:t>
            </w:r>
          </w:p>
        </w:tc>
        <w:tc>
          <w:tcPr>
            <w:tcW w:w="1419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B9AD77E0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rtl/>
              </w:rPr>
              <w:t>تقسيم العمل لمجموعات، تشكيل مجسمات من الصلصال (مثل مصابيح، أطباق، أشكال طبي</w:t>
            </w:r>
            <w:r>
              <w:rPr>
                <w:rtl/>
              </w:rPr>
              <w:t>عية)، نقد ومشاركة النتاجات</w:t>
            </w:r>
            <w:r>
              <w:t xml:space="preserve"> [cite: 20].</w:t>
            </w:r>
          </w:p>
        </w:tc>
        <w:tc>
          <w:tcPr>
            <w:tcW w:w="1255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84B1A0B7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rtl/>
              </w:rPr>
              <w:t>تقويم الأداء العملي، الملاحظة، ملف الطالب، السجل القصصي</w:t>
            </w:r>
            <w:r>
              <w:t xml:space="preserve"> [cite: 20, 21].</w:t>
            </w:r>
          </w:p>
        </w:tc>
      </w:tr>
      <w:tr w14:paraId="53FD7959">
        <w:tblPrEx/>
        <w:trPr>
          <w:cantSplit/>
          <w:tblHeader/>
        </w:trPr>
        <w:tc>
          <w:tcPr>
            <w:tcW w:w="1337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853E2FB8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337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7AF10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b/>
                <w:bCs/>
                <w:rtl/>
              </w:rPr>
              <w:t>الألوان والطبيعة</w:t>
            </w:r>
            <w:r>
              <w:t xml:space="preserve"> [cite: 21]</w:t>
            </w:r>
          </w:p>
        </w:tc>
        <w:tc>
          <w:tcPr>
            <w:tcW w:w="1337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0B177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t xml:space="preserve">6 </w:t>
            </w:r>
            <w:r>
              <w:rPr>
                <w:rtl/>
              </w:rPr>
              <w:t>حصص</w:t>
            </w:r>
            <w:r>
              <w:t xml:space="preserve"> [cite: 22]</w:t>
            </w:r>
          </w:p>
        </w:tc>
        <w:tc>
          <w:tcPr>
            <w:tcW w:w="1337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0827A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rtl/>
              </w:rPr>
              <w:t>فهم الفيزياء اللونية والألوان الأساسية، ربط الألوان بالطبيعة ورمزيتها، مزج الألوان واستنباط درجات</w:t>
            </w:r>
            <w:r>
              <w:rPr>
                <w:rtl/>
              </w:rPr>
              <w:t xml:space="preserve"> جديدة</w:t>
            </w:r>
            <w:r>
              <w:t xml:space="preserve"> [cite: 21, 22].</w:t>
            </w:r>
          </w:p>
        </w:tc>
        <w:tc>
          <w:tcPr>
            <w:tcW w:w="1337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01E02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rtl/>
              </w:rPr>
              <w:t>مجموعة علب ألوان متنوعة، أدوات ومواد نظافة</w:t>
            </w:r>
            <w:r>
              <w:t xml:space="preserve"> [cite: 22].</w:t>
            </w:r>
          </w:p>
        </w:tc>
        <w:tc>
          <w:tcPr>
            <w:tcW w:w="1419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EFEE7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rtl/>
              </w:rPr>
              <w:t>تأمل علب الألوان وبناء ثقافة بصرية، ربط الألوان بالظواهر الطبيعية، مزج لونين أو أكثر ضمن مجموعات ورصد النتائج</w:t>
            </w:r>
            <w:r>
              <w:t xml:space="preserve"> [cite: 22, 23].</w:t>
            </w:r>
          </w:p>
        </w:tc>
        <w:tc>
          <w:tcPr>
            <w:tcW w:w="1255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FAA2F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rtl/>
              </w:rPr>
              <w:t>مراجعة الذات، ملف الطالب، التواصل والنقاش، السجل الق</w:t>
            </w:r>
            <w:r>
              <w:rPr>
                <w:rtl/>
              </w:rPr>
              <w:t>صصي</w:t>
            </w:r>
            <w:r>
              <w:t xml:space="preserve"> [cite: 23, 24].</w:t>
            </w:r>
          </w:p>
        </w:tc>
      </w:tr>
      <w:tr w14:paraId="980FC2DE">
        <w:tblPrEx/>
        <w:trPr>
          <w:cantSplit/>
          <w:tblHeader/>
        </w:trPr>
        <w:tc>
          <w:tcPr>
            <w:tcW w:w="1337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E578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37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DB8A0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b/>
                <w:bCs/>
                <w:rtl/>
              </w:rPr>
              <w:t>أكتشف المواد التالفة والضارة للبيئة وأعيد تدويرها</w:t>
            </w:r>
            <w:r>
              <w:t xml:space="preserve"> [cite: 24]</w:t>
            </w:r>
          </w:p>
        </w:tc>
        <w:tc>
          <w:tcPr>
            <w:tcW w:w="1337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1FE0A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t xml:space="preserve">4 </w:t>
            </w:r>
            <w:r>
              <w:rPr>
                <w:rtl/>
              </w:rPr>
              <w:t>حصص</w:t>
            </w:r>
            <w:r>
              <w:t xml:space="preserve"> [cite: 25]</w:t>
            </w:r>
          </w:p>
        </w:tc>
        <w:tc>
          <w:tcPr>
            <w:tcW w:w="1337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C24F4B36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rtl/>
              </w:rPr>
              <w:t>استيعاب مفهوم إعادة التدوير، تنمية وعي بيئي فني، تحويل النفايات لمجسمات وقطع فنية نافعة</w:t>
            </w:r>
            <w:r>
              <w:t xml:space="preserve"> [cite: 24, 25].</w:t>
            </w:r>
          </w:p>
        </w:tc>
        <w:tc>
          <w:tcPr>
            <w:tcW w:w="1337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886A9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rtl/>
              </w:rPr>
              <w:t>زجاج، بلاستيك، علب معدنية تالفة، طلاء، مواد ورقية</w:t>
            </w:r>
            <w:r>
              <w:t xml:space="preserve"> [</w:t>
            </w:r>
            <w:r>
              <w:t>cite: 25].</w:t>
            </w:r>
          </w:p>
        </w:tc>
        <w:tc>
          <w:tcPr>
            <w:tcW w:w="1419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89E39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rtl/>
              </w:rPr>
              <w:t>تنظيف المواد وفرزها بأمان، إعادة تدوير الزجاج لقواوير زراعية والعلب المعدنية لقناديل، والبلاستيك لأدوات مدرسية</w:t>
            </w:r>
            <w:r>
              <w:t xml:space="preserve"> [cite: 25].</w:t>
            </w:r>
          </w:p>
        </w:tc>
        <w:tc>
          <w:tcPr>
            <w:tcW w:w="1255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41C3A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rtl/>
              </w:rPr>
              <w:t>تقويم الأداء، ملاحظة ونقاش بيئي، سجل الطالب الميداني، السجل القصصي</w:t>
            </w:r>
            <w:r>
              <w:t xml:space="preserve"> [cite: 26].</w:t>
            </w:r>
          </w:p>
        </w:tc>
      </w:tr>
      <w:tr w14:paraId="9B831D81">
        <w:tblPrEx/>
        <w:trPr>
          <w:cantSplit/>
          <w:tblHeader/>
        </w:trPr>
        <w:tc>
          <w:tcPr>
            <w:tcW w:w="1337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A0F57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337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DADCCB02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b/>
                <w:bCs/>
                <w:rtl/>
              </w:rPr>
              <w:t>أصمم الأشكال بطريقة مبدعة</w:t>
            </w:r>
            <w:r>
              <w:t xml:space="preserve"> [cite: 27]</w:t>
            </w:r>
          </w:p>
        </w:tc>
        <w:tc>
          <w:tcPr>
            <w:tcW w:w="1337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62FE4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t xml:space="preserve">6 </w:t>
            </w:r>
            <w:r>
              <w:rPr>
                <w:rtl/>
              </w:rPr>
              <w:t>حصص</w:t>
            </w:r>
            <w:r>
              <w:t xml:space="preserve"> [cite: 28]</w:t>
            </w:r>
          </w:p>
        </w:tc>
        <w:tc>
          <w:tcPr>
            <w:tcW w:w="1337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CD0A4874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rtl/>
              </w:rPr>
              <w:t>التعرف على أنواع الفن التصميمي (فني، صناعي، إعلامي)، تنمية مهارات التخطيط وإدارة الوقت والحلول الابتكارية</w:t>
            </w:r>
            <w:r>
              <w:t xml:space="preserve"> [cite: 27, 28].</w:t>
            </w:r>
          </w:p>
        </w:tc>
        <w:tc>
          <w:tcPr>
            <w:tcW w:w="1337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C98B5137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rtl/>
              </w:rPr>
              <w:t>رسومات، صور، مجسمات فنية، مواد أثاث مصغرة أو طباشير</w:t>
            </w:r>
            <w:r>
              <w:t xml:space="preserve"> [cite: 28, 29].</w:t>
            </w:r>
          </w:p>
        </w:tc>
        <w:tc>
          <w:tcPr>
            <w:tcW w:w="1419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74839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rtl/>
              </w:rPr>
              <w:t>الاطلاع على نماذج تصميم، اختيار تصميم محدد (هيكل مب</w:t>
            </w:r>
            <w:r>
              <w:rPr>
                <w:rtl/>
              </w:rPr>
              <w:t>نى، قطعة أثاث، رسم على السبورة)، العمل الجماعي وعرض الفكرة</w:t>
            </w:r>
            <w:r>
              <w:t xml:space="preserve"> [cite: 28, 29].</w:t>
            </w:r>
          </w:p>
        </w:tc>
        <w:tc>
          <w:tcPr>
            <w:tcW w:w="1255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A0FEB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rtl/>
              </w:rPr>
              <w:t>التقويم الواقعي والتواصلي، ملف الطالب، السجل القصصي للمعلم</w:t>
            </w:r>
            <w:r>
              <w:t xml:space="preserve"> [cite: 29, 30].</w:t>
            </w:r>
          </w:p>
        </w:tc>
      </w:tr>
      <w:tr w14:paraId="E319BC69">
        <w:tblPrEx/>
        <w:trPr>
          <w:cantSplit/>
          <w:tblHeader/>
        </w:trPr>
        <w:tc>
          <w:tcPr>
            <w:tcW w:w="1337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E8C63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337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B227F0DB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b/>
                <w:bCs/>
                <w:rtl/>
              </w:rPr>
              <w:t>الفن المرئي: أبصر، أتذوق، أعبر</w:t>
            </w:r>
            <w:r>
              <w:t xml:space="preserve"> [cite: 30]</w:t>
            </w:r>
          </w:p>
        </w:tc>
        <w:tc>
          <w:tcPr>
            <w:tcW w:w="1337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B1C93884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t xml:space="preserve">6 </w:t>
            </w:r>
            <w:r>
              <w:rPr>
                <w:rtl/>
              </w:rPr>
              <w:t>حصص</w:t>
            </w:r>
            <w:r>
              <w:t xml:space="preserve"> [cite: 31]</w:t>
            </w:r>
          </w:p>
        </w:tc>
        <w:tc>
          <w:tcPr>
            <w:tcW w:w="1337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F61BD5BC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rtl/>
              </w:rPr>
              <w:t xml:space="preserve">التمييز بين الفنون التشكيلية والتعبيرية </w:t>
            </w:r>
            <w:r>
              <w:rPr>
                <w:rtl/>
              </w:rPr>
              <w:t>والتطبيقية، تنمية التذوق البصري، محاكاة الفن العالمي</w:t>
            </w:r>
            <w:r>
              <w:t xml:space="preserve"> [cite: 30, 31].</w:t>
            </w:r>
          </w:p>
        </w:tc>
        <w:tc>
          <w:tcPr>
            <w:tcW w:w="1337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C3952D29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rtl/>
              </w:rPr>
              <w:t>صور فوتوغرافية، سيراميك، خزف، مقاطع فيديو وثائقية، أعمال كوالج</w:t>
            </w:r>
            <w:r>
              <w:t xml:space="preserve"> [cite: 31].</w:t>
            </w:r>
          </w:p>
        </w:tc>
        <w:tc>
          <w:tcPr>
            <w:tcW w:w="1419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9944B7FE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rtl/>
              </w:rPr>
              <w:t>عرض الأعمال المرئية، تقسيم الطلاب لمجموعات للتأمل البصري، تحليل عناصر الفن والرسالة الضمنية، وتبادل الدور</w:t>
            </w:r>
            <w:r>
              <w:t xml:space="preserve"> [cite:</w:t>
            </w:r>
            <w:r>
              <w:t xml:space="preserve"> 31].</w:t>
            </w:r>
          </w:p>
        </w:tc>
        <w:tc>
          <w:tcPr>
            <w:tcW w:w="1255" w:type="dxa"/>
            <w:tcBorders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FA989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jc w:val="right"/>
              <w:rPr/>
            </w:pPr>
            <w:r>
              <w:rPr>
                <w:rtl/>
              </w:rPr>
              <w:t>تقويم قائم على الأداء، مراجعة الذات، السجل القصصي، المعرض المدرسـي</w:t>
            </w:r>
            <w:r>
              <w:t xml:space="preserve"> [cite: 32].</w:t>
            </w:r>
          </w:p>
        </w:tc>
      </w:tr>
    </w:tbl>
    <w:p w14:paraId="64A09F69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225"/>
        <w:rPr/>
      </w:pPr>
    </w:p>
    <w:p w14:paraId="8347B743">
      <w:pPr>
        <w:pStyle w:val="style2"/>
        <w:bidi/>
        <w:rPr/>
      </w:pPr>
      <w:r>
        <w:rPr>
          <w:rtl/>
        </w:rPr>
        <w:t>رابعاً: آليات ضمان الجودة والتقويم والاستدامة</w:t>
      </w:r>
    </w:p>
    <w:p w14:paraId="1396D446">
      <w:pPr>
        <w:pStyle w:val="style4098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bidi/>
        <w:rPr/>
      </w:pPr>
      <w:r>
        <w:rPr>
          <w:b/>
          <w:bCs/>
          <w:rtl/>
        </w:rPr>
        <w:t>أدوات التوثيق والتقويم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توثيق التجارب عبر "سجل الطالب" الميداني والفوتوغرافي</w:t>
      </w:r>
      <w:r>
        <w:t xml:space="preserve"> [cite: 16, 18, 21, 24, 26, 30, 32]</w:t>
      </w:r>
      <w:r>
        <w:rPr>
          <w:rtl/>
        </w:rPr>
        <w:t>،</w:t>
      </w:r>
      <w:r>
        <w:t xml:space="preserve"> </w:t>
      </w:r>
      <w:r>
        <w:rPr>
          <w:rtl/>
        </w:rPr>
        <w:t>واستخدام "</w:t>
      </w:r>
      <w:r>
        <w:rPr>
          <w:rtl/>
        </w:rPr>
        <w:t>السجل القصصي للمعلم" لرصد تطور المهارات</w:t>
      </w:r>
      <w:r>
        <w:t xml:space="preserve"> [cite: 16, 18, 21, 24, 26, 30, 32].</w:t>
      </w:r>
    </w:p>
    <w:p w14:paraId="3F62EDFC">
      <w:pPr>
        <w:pStyle w:val="style4098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bidi/>
        <w:rPr/>
      </w:pPr>
      <w:r>
        <w:rPr>
          <w:b/>
          <w:bCs/>
          <w:rtl/>
        </w:rPr>
        <w:t>الأنشطة المعززة للأنشطة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إقامة معرض الاقتناء والبورتريه الصحفي</w:t>
      </w:r>
      <w:r>
        <w:t xml:space="preserve"> [cite: 16]</w:t>
      </w:r>
      <w:r>
        <w:rPr>
          <w:rtl/>
        </w:rPr>
        <w:t>،</w:t>
      </w:r>
      <w:r>
        <w:t xml:space="preserve"> </w:t>
      </w:r>
      <w:r>
        <w:rPr>
          <w:rtl/>
        </w:rPr>
        <w:t>مسابقة الخطاط المدرسي</w:t>
      </w:r>
      <w:r>
        <w:t xml:space="preserve"> [cite: 18]</w:t>
      </w:r>
      <w:r>
        <w:rPr>
          <w:rtl/>
        </w:rPr>
        <w:t>،</w:t>
      </w:r>
      <w:r>
        <w:t xml:space="preserve"> </w:t>
      </w:r>
      <w:r>
        <w:rPr>
          <w:rtl/>
        </w:rPr>
        <w:t>معرض التدوير الفني المدرسي</w:t>
      </w:r>
      <w:r>
        <w:t xml:space="preserve"> [cite: 26]</w:t>
      </w:r>
      <w:r>
        <w:rPr>
          <w:rtl/>
        </w:rPr>
        <w:t>،</w:t>
      </w:r>
      <w:r>
        <w:t xml:space="preserve"> </w:t>
      </w:r>
      <w:r>
        <w:rPr>
          <w:rtl/>
        </w:rPr>
        <w:t>ومشغل الفن التصميمي</w:t>
      </w:r>
      <w:r>
        <w:t xml:space="preserve"> [cite: 30].</w:t>
      </w:r>
    </w:p>
    <w:p w14:paraId="2A6749E3">
      <w:pPr>
        <w:pStyle w:val="style4098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bidi/>
        <w:rPr>
          <w:rFonts w:hint="cs"/>
        </w:rPr>
      </w:pPr>
      <w:r>
        <w:rPr>
          <w:b/>
          <w:bCs/>
          <w:rtl/>
        </w:rPr>
        <w:t>مراعاة الشمولية والإدماج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إدراج التعديلات اللازمة والأدوات المساندة لدمج الطلبة من ذوي الإعاقة (مثل تكييف الأنشطة البصرية لذوي الإعاقة البصرية</w:t>
      </w:r>
      <w:r>
        <w:t>) [cite: 4, 13, 14, 17, 20, 22, 23, 2</w:t>
      </w:r>
      <w:r>
        <w:t>5, 28, 31].</w:t>
      </w:r>
    </w:p>
    <w:p w14:paraId="514DE458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rPr>
          <w:rFonts w:hint="cs"/>
          <w:rtl/>
          <w:lang w:bidi="ar-JO"/>
        </w:rPr>
      </w:pPr>
    </w:p>
    <w:p w14:paraId="DFCC6F5C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rPr>
          <w:rFonts w:hint="cs"/>
          <w:rtl/>
          <w:lang w:bidi="ar-JO"/>
        </w:rPr>
      </w:pPr>
    </w:p>
    <w:p w14:paraId="587922D4">
      <w:pPr>
        <w:pStyle w:val="style0"/>
        <w:bidi/>
        <w:jc w:val="center"/>
        <w:rPr>
          <w:rFonts w:ascii="Microsoft Sans Serif" w:cs="Microsoft Sans Serif" w:eastAsia="Times New Roman" w:hAnsi="Microsoft Sans Serif"/>
          <w:b/>
          <w:bCs/>
          <w:sz w:val="36"/>
          <w:szCs w:val="36"/>
          <w:lang w:bidi="ar-JO"/>
        </w:rPr>
      </w:pPr>
      <w:r>
        <w:rPr>
          <w:rFonts w:ascii="Microsoft Sans Serif" w:cs="Microsoft Sans Serif" w:eastAsia="Times New Roman" w:hAnsi="Microsoft Sans Serif"/>
          <w:b/>
          <w:bCs/>
          <w:noProof/>
          <w:sz w:val="36"/>
          <w:szCs w:val="36"/>
        </w:rPr>
        <w:drawing>
          <wp:inline distL="0" distT="0" distB="0" distR="0">
            <wp:extent cx="1023620" cy="1003300"/>
            <wp:effectExtent l="19050" t="0" r="5080" b="0"/>
            <wp:docPr id="1027" name="صورة 1" descr="c092fb2419d12c1038bb88a0827ff1a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23620" cy="10033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BC65A">
      <w:pPr>
        <w:pStyle w:val="style0"/>
        <w:bidi/>
        <w:jc w:val="center"/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14:paraId="7B5A7D60">
      <w:pPr>
        <w:pStyle w:val="style0"/>
        <w:bidi/>
        <w:jc w:val="center"/>
        <w:rPr>
          <w:rFonts w:ascii="Times New Roman" w:cs="Times New Roman" w:eastAsia="Times New Roman" w:hAnsi="Times New Roman"/>
          <w:b/>
          <w:bCs/>
          <w:color w:val="ff0000"/>
          <w:sz w:val="40"/>
          <w:szCs w:val="40"/>
          <w:u w:val="single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14:paraId="8780D74D">
      <w:pPr>
        <w:pStyle w:val="style0"/>
        <w:bidi/>
        <w:jc w:val="center"/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</w:pPr>
    </w:p>
    <w:p w14:paraId="0408A79B">
      <w:pPr>
        <w:pStyle w:val="style0"/>
        <w:bidi/>
        <w:jc w:val="center"/>
        <w:rPr>
          <w:rFonts w:ascii="Times New Roman" w:cs="Times New Roman" w:eastAsia="Times New Roman" w:hAnsi="Times New Roman"/>
          <w:b/>
          <w:bCs/>
          <w:sz w:val="40"/>
          <w:szCs w:val="40"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  <w:t xml:space="preserve">هذا العمل حصري لدى موقع الايمان التعليمي </w:t>
      </w:r>
    </w:p>
    <w:p w14:paraId="AC347BFD">
      <w:pPr>
        <w:pStyle w:val="style0"/>
        <w:bidi/>
        <w:jc w:val="center"/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40"/>
          <w:szCs w:val="40"/>
          <w:lang w:bidi="ar-JO"/>
        </w:rPr>
        <w:t>(</w:t>
      </w:r>
      <w:r>
        <w:rPr>
          <w:rFonts w:ascii="Times New Roman" w:cs="Times New Roman" w:eastAsia="Times New Roman" w:hAnsi="Times New Roman"/>
          <w:b/>
          <w:bCs/>
          <w:color w:val="0000ff"/>
          <w:sz w:val="40"/>
          <w:szCs w:val="40"/>
          <w:lang w:bidi="ar-JO"/>
        </w:rPr>
        <w:t>www.</w:t>
      </w:r>
      <w:r>
        <w:rPr>
          <w:rFonts w:ascii="Times New Roman" w:cs="Times New Roman" w:eastAsia="Times New Roman" w:hAnsi="Times New Roman"/>
          <w:color w:val="0000ff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0000ff"/>
          <w:sz w:val="40"/>
          <w:szCs w:val="40"/>
          <w:lang w:bidi="ar-JO"/>
        </w:rPr>
        <w:t>imanjo.com</w:t>
      </w:r>
      <w:r>
        <w:rPr>
          <w:rFonts w:ascii="Times New Roman" w:cs="Times New Roman" w:eastAsia="Times New Roman" w:hAnsi="Times New Roman"/>
          <w:b/>
          <w:bCs/>
          <w:sz w:val="40"/>
          <w:szCs w:val="40"/>
          <w:lang w:bidi="ar-JO"/>
        </w:rPr>
        <w:t xml:space="preserve">) </w:t>
      </w:r>
    </w:p>
    <w:p w14:paraId="A09AA599">
      <w:pPr>
        <w:pStyle w:val="style0"/>
        <w:bidi/>
        <w:jc w:val="center"/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</w:pPr>
    </w:p>
    <w:p w14:paraId="5DE6EFA0">
      <w:pPr>
        <w:pStyle w:val="style0"/>
        <w:bidi/>
        <w:jc w:val="center"/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  <w:t xml:space="preserve">وهو متاح لجميع الاعضاء والزوار بنسخته المجانية ويمنع النقل من قبل اي موقع تعليمي اخر وتحت طائلة المسؤولية. </w:t>
      </w:r>
    </w:p>
    <w:p w14:paraId="590EB59A">
      <w:pPr>
        <w:pStyle w:val="style0"/>
        <w:bidi/>
        <w:rPr>
          <w:rFonts w:ascii="Times New Roman" w:cs="Times New Roman" w:eastAsia="Times New Roman" w:hAnsi="Times New Roman"/>
          <w:b/>
          <w:bCs/>
          <w:sz w:val="40"/>
          <w:szCs w:val="40"/>
          <w:lang w:bidi="ar-JO"/>
        </w:rPr>
      </w:pPr>
    </w:p>
    <w:p w14:paraId="9DD7CA3E">
      <w:pPr>
        <w:pStyle w:val="style0"/>
        <w:bidi/>
        <w:jc w:val="center"/>
        <w:rPr>
          <w:rFonts w:ascii="Microsoft Sans Serif" w:cs="Microsoft Sans Serif" w:eastAsia="Times New Roman" w:hAnsi="Microsoft Sans Serif"/>
          <w:b/>
          <w:bCs/>
          <w:sz w:val="32"/>
          <w:szCs w:val="32"/>
          <w:rtl/>
          <w:lang w:bidi="ar-JO"/>
        </w:rPr>
      </w:pPr>
    </w:p>
    <w:p w14:paraId="DECF5EBD">
      <w:pPr>
        <w:pStyle w:val="style0"/>
        <w:pBdr>
          <w:left w:val="double" w:sz="4" w:space="4" w:color="auto"/>
          <w:right w:val="double" w:sz="4" w:space="4" w:color="auto"/>
          <w:top w:val="double" w:sz="4" w:space="1" w:color="auto"/>
          <w:bottom w:val="double" w:sz="4" w:space="1" w:color="auto"/>
        </w:pBdr>
        <w:shd w:val="clear" w:color="auto" w:fill="eaf1dd"/>
        <w:bidi/>
        <w:jc w:val="center"/>
        <w:rPr>
          <w:rFonts w:ascii="Times New Roman" w:cs="Times New Roman" w:eastAsia="Times New Roman" w:hAnsi="Times New Roman"/>
          <w:b/>
          <w:bCs/>
          <w:sz w:val="44"/>
          <w:szCs w:val="44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44"/>
          <w:szCs w:val="44"/>
          <w:rtl/>
          <w:lang w:bidi="ar-JO"/>
        </w:rPr>
        <w:t xml:space="preserve">اعداد فريق موقع الايمان </w:t>
      </w:r>
    </w:p>
    <w:p w14:paraId="D8150EB2">
      <w:pPr>
        <w:pStyle w:val="style0"/>
        <w:bidi/>
        <w:jc w:val="center"/>
        <w:rPr>
          <w:rFonts w:ascii="Microsoft Sans Serif" w:cs="Microsoft Sans Serif" w:hAnsi="Microsoft Sans Serif"/>
          <w:b/>
          <w:bCs/>
          <w:sz w:val="28"/>
          <w:szCs w:val="28"/>
          <w:rtl/>
          <w:lang w:bidi="ar-JO"/>
        </w:rPr>
      </w:pPr>
    </w:p>
    <w:p w14:paraId="1D98E999">
      <w:pPr>
        <w:pStyle w:val="style0"/>
        <w:bidi/>
        <w:jc w:val="center"/>
        <w:rPr>
          <w:rFonts w:ascii="Microsoft Sans Serif" w:cs="Microsoft Sans Serif" w:hAnsi="Microsoft Sans Serif"/>
          <w:b/>
          <w:bCs/>
          <w:sz w:val="28"/>
          <w:szCs w:val="28"/>
          <w:rtl/>
          <w:lang w:bidi="ar-JO"/>
        </w:rPr>
      </w:pPr>
    </w:p>
    <w:p w14:paraId="E29E550F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rPr>
          <w:rFonts w:hint="cs"/>
          <w:rtl/>
          <w:lang w:bidi="ar-JO"/>
        </w:rPr>
      </w:pPr>
    </w:p>
    <w:sectPr>
      <w:footerReference w:type="default" r:id="rId3"/>
      <w:pgSz w:w="12240" w:h="15840" w:orient="portrait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004020303"/>
    <w:charset w:val="00"/>
    <w:family w:val="auto"/>
    <w:pitch w:val="default"/>
    <w:sig w:usb0="00000000" w:usb1="00000000" w:usb2="00000000" w:usb3="00000000" w:csb0="00000000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002020204"/>
    <w:charset w:val="00"/>
    <w:family w:val="swiss"/>
    <w:pitch w:val="variable"/>
    <w:sig w:usb0="E5002EFF" w:usb1="C000605B" w:usb2="00000029" w:usb3="00000000" w:csb0="0001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8E8F027D">
    <w:pPr>
      <w:pStyle w:val="style32"/>
      <w:rPr>
        <w:rFonts w:hint="cs"/>
        <w:lang w:bidi="ar-JO"/>
      </w:rPr>
    </w:pPr>
    <w:r>
      <w:rPr>
        <w:rFonts w:hint="cs"/>
        <w:rtl/>
        <w:lang w:bidi="ar-JO"/>
      </w:rPr>
      <w:t>موقع الايمان التعليمي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D248BFEE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0000001"/>
    <w:multiLevelType w:val="multilevel"/>
    <w:tmpl w:val="754681EE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0"/>
  <w:embedTrueType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rial" w:cs="Arial" w:eastAsia="Arial" w:hAnsi="Arial"/>
        <w:sz w:val="22"/>
        <w:szCs w:val="22"/>
        <w:lang w:val="en-US" w:bidi="ar-SA" w:eastAsia="en-US"/>
      </w:rPr>
    </w:rPrDefault>
    <w:pPrDefault>
      <w:pPr>
        <w:widowControl w:val="false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4098"/>
    <w:next w:val="style4098"/>
    <w:pPr>
      <w:pBdr>
        <w:left w:val="nil"/>
        <w:right w:val="nil"/>
        <w:top w:val="nil"/>
        <w:bottom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style2">
    <w:name w:val="heading 2"/>
    <w:basedOn w:val="style4098"/>
    <w:next w:val="style4098"/>
    <w:pPr>
      <w:pBdr>
        <w:left w:val="nil"/>
        <w:right w:val="nil"/>
        <w:top w:val="nil"/>
        <w:bottom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style3">
    <w:name w:val="heading 3"/>
    <w:basedOn w:val="style4098"/>
    <w:next w:val="style4098"/>
    <w:pPr>
      <w:pBdr>
        <w:left w:val="nil"/>
        <w:right w:val="nil"/>
        <w:top w:val="nil"/>
        <w:bottom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style4">
    <w:name w:val="heading 4"/>
    <w:basedOn w:val="style4098"/>
    <w:next w:val="style4098"/>
    <w:pPr>
      <w:pBdr>
        <w:left w:val="nil"/>
        <w:right w:val="nil"/>
        <w:top w:val="nil"/>
        <w:bottom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style5">
    <w:name w:val="heading 5"/>
    <w:basedOn w:val="style4098"/>
    <w:next w:val="style4098"/>
    <w:pPr>
      <w:pBdr>
        <w:left w:val="nil"/>
        <w:right w:val="nil"/>
        <w:top w:val="nil"/>
        <w:bottom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style6">
    <w:name w:val="heading 6"/>
    <w:basedOn w:val="style4098"/>
    <w:next w:val="style4098"/>
    <w:pPr>
      <w:pBdr>
        <w:left w:val="nil"/>
        <w:right w:val="nil"/>
        <w:top w:val="nil"/>
        <w:bottom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Normal"/>
    <w:next w:val="style4097"/>
    <w:pPr/>
    <w:rPr/>
    <w:tblPr>
      <w:tblCellMar>
        <w:top w:w="100" w:type="dxa"/>
        <w:left w:w="100" w:type="dxa"/>
        <w:bottom w:w="100" w:type="dxa"/>
        <w:right w:w="100" w:type="dxa"/>
      </w:tblCellMar>
    </w:tblPr>
    <w:tcPr>
      <w:tcBorders/>
    </w:tcPr>
  </w:style>
  <w:style w:type="paragraph" w:customStyle="1" w:styleId="style4098">
    <w:name w:val="normal"/>
    <w:next w:val="style4098"/>
    <w:pPr/>
  </w:style>
  <w:style w:type="paragraph" w:styleId="style62">
    <w:name w:val="Title"/>
    <w:basedOn w:val="style4098"/>
    <w:next w:val="style4098"/>
    <w:pPr>
      <w:keepNext/>
      <w:keepLines/>
      <w:spacing w:before="480" w:after="120"/>
    </w:pPr>
    <w:rPr>
      <w:b/>
      <w:bCs/>
      <w:sz w:val="72"/>
      <w:szCs w:val="72"/>
    </w:rPr>
  </w:style>
  <w:style w:type="paragraph" w:styleId="style74">
    <w:name w:val="Subtitle"/>
    <w:basedOn w:val="style4098"/>
    <w:next w:val="style4098"/>
    <w:pPr>
      <w:keepNext/>
      <w:keepLines/>
      <w:spacing w:before="360" w:after="80"/>
    </w:pPr>
    <w:rPr>
      <w:rFonts w:ascii="Georgia" w:cs="Georgia" w:eastAsia="Georgia" w:hAnsi="Georgia"/>
      <w:i/>
      <w:iCs/>
      <w:color w:val="666666"/>
      <w:sz w:val="48"/>
      <w:szCs w:val="48"/>
    </w:rPr>
  </w:style>
  <w:style w:type="table" w:customStyle="1" w:styleId="style4099">
    <w:basedOn w:val="style4097"/>
    <w:next w:val="style4099"/>
    <w:pPr/>
    <w:rPr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tcBorders/>
    </w:tcPr>
  </w:style>
  <w:style w:type="table" w:customStyle="1" w:styleId="style4100">
    <w:basedOn w:val="style4097"/>
    <w:next w:val="style4100"/>
    <w:pPr/>
    <w:rPr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101"/>
    <w:uiPriority w:val="99"/>
    <w:pPr/>
    <w:rPr>
      <w:rFonts w:ascii="Tahoma" w:cs="Tahoma" w:hAnsi="Tahoma"/>
      <w:sz w:val="16"/>
      <w:szCs w:val="16"/>
    </w:rPr>
  </w:style>
  <w:style w:type="character" w:customStyle="1" w:styleId="style4101">
    <w:name w:val="نص في بالون Char"/>
    <w:basedOn w:val="style65"/>
    <w:next w:val="style4101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102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102">
    <w:name w:val="رأس صفحة Char"/>
    <w:basedOn w:val="style65"/>
    <w:next w:val="style4102"/>
    <w:link w:val="style31"/>
    <w:uiPriority w:val="99"/>
  </w:style>
  <w:style w:type="paragraph" w:styleId="style32">
    <w:name w:val="footer"/>
    <w:basedOn w:val="style0"/>
    <w:next w:val="style32"/>
    <w:link w:val="style4103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103">
    <w:name w:val="تذييل صفحة Char"/>
    <w:basedOn w:val="style65"/>
    <w:next w:val="style4103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746</Words>
  <Pages>1</Pages>
  <Characters>4070</Characters>
  <Application>WPS Office</Application>
  <DocSecurity>0</DocSecurity>
  <Paragraphs>107</Paragraphs>
  <ScaleCrop>false</ScaleCrop>
  <LinksUpToDate>false</LinksUpToDate>
  <CharactersWithSpaces>4751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٢٠٢٦-٠٨-٣١T٠٣:٤٩:٠٠Z</dcterms:created>
  <dc:creator>WPS Office</dc:creator>
  <lastModifiedBy>SM-S928B</lastModifiedBy>
  <dcterms:modified xsi:type="dcterms:W3CDTF">٢٠٢٦-٠٨-٣١T١٧:٥٢:٠١Z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4321553b16624f698deb70f403912d79_23</vt:lpwstr>
  </property>
</Properties>
</file>