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EAEB16E">
      <w:pPr>
        <w:pStyle w:val="style1"/>
        <w:bidi/>
        <w:jc w:val="left"/>
        <w:rPr/>
      </w:pPr>
      <w:r>
        <w:rPr>
          <w:rtl/>
        </w:rPr>
        <w:t>الخطة السنوية العامة لنشاط المجال الصحي</w:t>
      </w:r>
    </w:p>
    <w:p w14:paraId="CDB43E42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rPr>
          <w:b/>
          <w:bCs/>
          <w:color w:val="4a5568"/>
          <w:sz w:val="24"/>
          <w:szCs w:val="24"/>
        </w:rPr>
      </w:pPr>
    </w:p>
    <w:p w14:paraId="1B15747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150"/>
        <w:rPr>
          <w:color w:val="718096"/>
          <w:sz w:val="20"/>
          <w:szCs w:val="20"/>
        </w:rPr>
      </w:pPr>
      <w:r>
        <w:rPr>
          <w:color w:val="718096"/>
          <w:sz w:val="20"/>
          <w:szCs w:val="20"/>
          <w:rtl/>
        </w:rPr>
        <w:t>مستندة إلى دليل الأنشطة المدرسية - المجال الصحي الصادر عن المركز الوطني لتطوير المناهج ووزارة التربية والتعليم</w:t>
      </w:r>
      <w:r>
        <w:rPr>
          <w:color w:val="718096"/>
          <w:sz w:val="20"/>
          <w:szCs w:val="20"/>
        </w:rPr>
        <w:t xml:space="preserve"> [cite: 1]</w:t>
      </w:r>
    </w:p>
    <w:p w14:paraId="E89A78B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المجال الرئيسي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الأنشطة المدرسية - المجال الصحي</w:t>
      </w:r>
      <w:r>
        <w:rPr>
          <w:shd w:val="clear" w:color="auto" w:fill="ebf8ff"/>
        </w:rPr>
        <w:t xml:space="preserve"> </w:t>
      </w:r>
    </w:p>
    <w:p w14:paraId="17A28603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الهدف العام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إكساب الطلبة المعارف والعادات الصحية السليمة، وتعزيز التكافل الاجتماعي والتواصل البناء والتفكير النقدي للارتقاء بالصحة الجسدية والنفس</w:t>
      </w:r>
      <w:r>
        <w:rPr>
          <w:rFonts w:hint="cs"/>
          <w:shd w:val="clear" w:color="auto" w:fill="ebf8ff"/>
          <w:rtl/>
          <w:lang w:bidi="ar-DZ"/>
        </w:rPr>
        <w:t xml:space="preserve">ي </w:t>
      </w:r>
      <w:r>
        <w:rPr>
          <w:shd w:val="clear" w:color="auto" w:fill="ebf8ff"/>
        </w:rPr>
        <w:t xml:space="preserve"> .</w:t>
      </w:r>
    </w:p>
    <w:p w14:paraId="6F630749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إستراتيجيات التقويم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التقويم المعتمد على الأداء، التقو</w:t>
      </w:r>
      <w:r>
        <w:rPr>
          <w:shd w:val="clear" w:color="auto" w:fill="ebf8ff"/>
          <w:rtl/>
        </w:rPr>
        <w:t>يم بالتواصل، الملاحظة، المراجعة الذاتية، والتقويم الواقعي</w:t>
      </w:r>
      <w:r>
        <w:rPr>
          <w:shd w:val="clear" w:color="auto" w:fill="ebf8ff"/>
        </w:rPr>
        <w:t xml:space="preserve"> </w:t>
      </w:r>
    </w:p>
    <w:p w14:paraId="0007AC2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before="180" w:after="555"/>
        <w:ind w:left="180" w:right="180"/>
        <w:rPr>
          <w:shd w:val="clear" w:color="auto" w:fill="ebf8ff"/>
        </w:rPr>
      </w:pPr>
      <w:r>
        <w:rPr>
          <w:b/>
          <w:bCs/>
          <w:shd w:val="clear" w:color="auto" w:fill="ebf8ff"/>
          <w:rtl/>
        </w:rPr>
        <w:t>أدوات التقويم</w:t>
      </w:r>
      <w:r>
        <w:rPr>
          <w:b/>
          <w:bCs/>
          <w:shd w:val="clear" w:color="auto" w:fill="ebf8ff"/>
        </w:rPr>
        <w:t>:</w:t>
      </w:r>
      <w:r>
        <w:rPr>
          <w:shd w:val="clear" w:color="auto" w:fill="ebf8ff"/>
        </w:rPr>
        <w:t xml:space="preserve"> </w:t>
      </w:r>
      <w:r>
        <w:rPr>
          <w:shd w:val="clear" w:color="auto" w:fill="ebf8ff"/>
          <w:rtl/>
        </w:rPr>
        <w:t>قوائم الرصد/الشطب، سلالم التقدير، سجل سير التعلم (سجل الطالب)، السجل القصصي (سجل المعلم</w:t>
      </w:r>
      <w:r>
        <w:rPr>
          <w:shd w:val="clear" w:color="auto" w:fill="ebf8ff"/>
        </w:rPr>
        <w:t>]</w:t>
      </w:r>
    </w:p>
    <w:p w14:paraId="B6A1467D">
      <w:pPr>
        <w:pStyle w:val="style2"/>
        <w:bidi/>
        <w:spacing w:before="0"/>
        <w:rPr/>
      </w:pPr>
      <w:r>
        <w:rPr>
          <w:rtl/>
        </w:rPr>
        <w:t xml:space="preserve">أولاً: </w:t>
      </w:r>
      <w:r>
        <w:rPr>
          <w:rtl/>
        </w:rPr>
        <w:t>النتاجات</w:t>
      </w:r>
      <w:r>
        <w:rPr>
          <w:rtl/>
        </w:rPr>
        <w:t xml:space="preserve"> العامة </w:t>
      </w:r>
      <w:r>
        <w:rPr>
          <w:rtl/>
        </w:rPr>
        <w:t>والكفايات</w:t>
      </w:r>
      <w:r>
        <w:rPr>
          <w:rtl/>
        </w:rPr>
        <w:t xml:space="preserve"> المستهدفة</w:t>
      </w:r>
    </w:p>
    <w:p w14:paraId="F0ADBFC8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b/>
          <w:bCs/>
          <w:rtl/>
        </w:rPr>
        <w:t>الكفايات</w:t>
      </w:r>
      <w:r>
        <w:rPr>
          <w:b/>
          <w:bCs/>
          <w:rtl/>
        </w:rPr>
        <w:t xml:space="preserve"> المعرفية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 xml:space="preserve">استيعاب </w:t>
      </w:r>
      <w:r>
        <w:rPr>
          <w:rtl/>
        </w:rPr>
        <w:t>المفاهيم الصحية العلمية، التفكير النقدي، حل المشكلات، والتخطيط للوقاية والرعاية الصحية</w:t>
      </w:r>
      <w:r>
        <w:t>.</w:t>
      </w:r>
    </w:p>
    <w:p w14:paraId="DCCD001B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الكفايات</w:t>
      </w:r>
      <w:r>
        <w:rPr>
          <w:b/>
          <w:bCs/>
          <w:rtl/>
        </w:rPr>
        <w:t xml:space="preserve"> الوظيفية </w:t>
      </w:r>
      <w:r>
        <w:rPr>
          <w:b/>
          <w:bCs/>
          <w:rtl/>
        </w:rPr>
        <w:t>والمهارية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مهارات التواصل، البحث والتقصي، إتقان المهارات العملية، وتطبيق العادات الصحية السليمة</w:t>
      </w:r>
      <w:r>
        <w:t>.</w:t>
      </w:r>
    </w:p>
    <w:p w14:paraId="4982F965">
      <w:pPr>
        <w:pStyle w:val="style4098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rPr/>
      </w:pPr>
      <w:r>
        <w:rPr>
          <w:b/>
          <w:bCs/>
          <w:rtl/>
        </w:rPr>
        <w:t>الكفايات</w:t>
      </w:r>
      <w:r>
        <w:rPr>
          <w:b/>
          <w:bCs/>
          <w:rtl/>
        </w:rPr>
        <w:t xml:space="preserve"> الانفعالية </w:t>
      </w:r>
      <w:r>
        <w:rPr>
          <w:b/>
          <w:bCs/>
          <w:rtl/>
        </w:rPr>
        <w:t>والقيمية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بنا</w:t>
      </w:r>
      <w:r>
        <w:rPr>
          <w:rtl/>
        </w:rPr>
        <w:t>ء قيم التعاطف، العمل الجماعي، الاحترام، تقدير نعم الله، وتحمل المسؤولية المجتمعية</w:t>
      </w:r>
      <w:r>
        <w:t>.</w:t>
      </w:r>
    </w:p>
    <w:p w14:paraId="3FFC330E">
      <w:pPr>
        <w:pStyle w:val="style2"/>
        <w:bidi/>
        <w:rPr/>
      </w:pPr>
      <w:r>
        <w:rPr>
          <w:rtl/>
        </w:rPr>
        <w:t>ثانياً: خطة الأنشطة الصحية السنوية العامة</w:t>
      </w:r>
    </w:p>
    <w:p w14:paraId="69FF658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225"/>
        <w:rPr/>
      </w:pPr>
      <w:r>
        <w:rPr/>
        <w:pict>
          <v:rect id="1027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rtl/>
        </w:rPr>
        <w:t xml:space="preserve">يتضمن الجدول التالي كافة أنشطة دليل المجال الصحي مرتبة وشاملة </w:t>
      </w:r>
      <w:r>
        <w:rPr>
          <w:rtl/>
        </w:rPr>
        <w:t>للنتاجات</w:t>
      </w:r>
      <w:r>
        <w:rPr>
          <w:rtl/>
        </w:rPr>
        <w:t>، أساليب التنفيذ، أدوات التقويم، ومؤشرات الجودة وا</w:t>
      </w:r>
      <w:r>
        <w:rPr>
          <w:rtl/>
        </w:rPr>
        <w:t>لاستدامة</w:t>
      </w:r>
      <w:r>
        <w:t xml:space="preserve"> [cite: 1]:</w:t>
      </w:r>
    </w:p>
    <w:tbl>
      <w:tblPr>
        <w:tblStyle w:val="style4099"/>
        <w:tblW w:w="9359" w:type="dxa"/>
        <w:tblInd w:w="5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1684"/>
        <w:gridCol w:w="2340"/>
        <w:gridCol w:w="2059"/>
        <w:gridCol w:w="1404"/>
        <w:gridCol w:w="1404"/>
      </w:tblGrid>
      <w:tr w14:paraId="C447A1E3"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253D0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86D5D38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عنوان النشاط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E403B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النتاجات</w:t>
            </w:r>
            <w:r>
              <w:rPr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  <w:rtl/>
              </w:rPr>
              <w:t>والكفايات</w:t>
            </w:r>
            <w:r>
              <w:rPr>
                <w:b/>
                <w:bCs/>
                <w:color w:val="ffffff"/>
                <w:sz w:val="20"/>
                <w:szCs w:val="20"/>
                <w:rtl/>
              </w:rPr>
              <w:t xml:space="preserve"> المستهدفة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FE470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إجراءات وأساليب التنفيذ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106B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أدوات وإستراتيجيات التقويم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D6FB707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50" w:after="15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  <w:rtl/>
              </w:rPr>
              <w:t>ضمان الجودة والاستدامة</w:t>
            </w:r>
          </w:p>
          <w:p w14:paraId="8E314D5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rPr/>
            </w:pPr>
            <w:r>
              <w:t xml:space="preserve"> </w:t>
            </w:r>
          </w:p>
        </w:tc>
      </w:tr>
      <w:tr w14:paraId="A1577E5E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FF59BC6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BC38AE7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النوم وأهميته للإنسان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4E879C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تعرف مراحل النوم، ضبط الساعة البيولوجية، ممارسة الوضعيات الصحيحة للنوم، وتقدير أهمية الراحة</w:t>
            </w:r>
            <w:r>
              <w:rPr>
                <w:sz w:val="20"/>
                <w:szCs w:val="20"/>
                <w:rtl/>
              </w:rPr>
              <w:t xml:space="preserve"> الجسدية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879BEE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مجموعات عمل، استعانة بخبير رعاية صحية، إعداد منشورات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 ملموسة بالصور لوضعيات النوم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9AA69B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قوائم رصد، ملف الطالب، مراجعة ذاتية، والسجل القصصي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B6BB84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إنشاء موقع إلكتروني </w:t>
            </w:r>
            <w:r>
              <w:rPr>
                <w:sz w:val="20"/>
                <w:szCs w:val="20"/>
                <w:rtl/>
              </w:rPr>
              <w:t>توعوي</w:t>
            </w:r>
            <w:r>
              <w:rPr>
                <w:sz w:val="20"/>
                <w:szCs w:val="20"/>
                <w:rtl/>
              </w:rPr>
              <w:t xml:space="preserve">، وتحويل الالتزام بنظام النوم إلى عادة </w:t>
            </w:r>
            <w:r>
              <w:rPr>
                <w:sz w:val="20"/>
                <w:szCs w:val="20"/>
                <w:rtl/>
              </w:rPr>
              <w:t>دائمية</w:t>
            </w:r>
            <w:r>
              <w:rPr>
                <w:sz w:val="20"/>
                <w:szCs w:val="20"/>
              </w:rPr>
              <w:t xml:space="preserve"> [</w:t>
            </w:r>
            <w:r>
              <w:rPr>
                <w:sz w:val="20"/>
                <w:szCs w:val="20"/>
              </w:rPr>
              <w:t>cite: 1].</w:t>
            </w:r>
          </w:p>
        </w:tc>
      </w:tr>
      <w:tr w14:paraId="F8FA5C46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F1D94D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C39E1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الصحة النفسية وأهميتها للفرد والمجتمع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C337EB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تحليل مسببات السعادة، إدراك مفهوم الصحة النفسية وأمراضها، وتنمية مهارات التعاطف والتواصل البناء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A2CCDD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استضافة المرشد الاجتماعي/النفسي، حوارات ونقاشات حول الضغوطات النفسية وطرق التعامل معها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395420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بالتواصل، ملف الطالب، وسجل سير التعلم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D50614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تخصيص جوائز لأفضل قصة أو بحث عن الصحة النفسية وتفعيل تبادل الأدوار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D0BA9236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93E050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BFB2D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أمراض تصيب أجهزة الجسم المختلفة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84C98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التعرف على الأمراض الشائعة للأجهزة المختلفة (الهضمي، التنفسي، الدوري، العصبي...) وسبل </w:t>
            </w:r>
            <w:r>
              <w:rPr>
                <w:sz w:val="20"/>
                <w:szCs w:val="20"/>
                <w:rtl/>
              </w:rPr>
              <w:t>الوقاية منها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CD69B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عروض </w:t>
            </w:r>
            <w:r>
              <w:rPr>
                <w:sz w:val="20"/>
                <w:szCs w:val="20"/>
                <w:rtl/>
              </w:rPr>
              <w:t>تقديمية</w:t>
            </w:r>
            <w:r>
              <w:rPr>
                <w:sz w:val="20"/>
                <w:szCs w:val="20"/>
              </w:rPr>
              <w:t xml:space="preserve"> (PowerPoint)</w:t>
            </w:r>
            <w:r>
              <w:rPr>
                <w:sz w:val="20"/>
                <w:szCs w:val="20"/>
                <w:rtl/>
              </w:rPr>
              <w:t>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استخدام مجسم جسم الإنسان، وأبحاث جماعية متخصصة لكل جهاز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BDE0ABC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تقويم واقعي، تقويم معتمد على الأداء، وسلالم التقدير/الكشط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E557E4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تجهيز لوحات </w:t>
            </w:r>
            <w:r>
              <w:rPr>
                <w:sz w:val="20"/>
                <w:szCs w:val="20"/>
                <w:rtl/>
              </w:rPr>
              <w:t>جدارية</w:t>
            </w:r>
            <w:r>
              <w:rPr>
                <w:sz w:val="20"/>
                <w:szCs w:val="20"/>
                <w:rtl/>
              </w:rPr>
              <w:t xml:space="preserve"> شاملة، ومسابقات لأفضل عرض تقديمي علمي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B68EEF55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418B1D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F99E75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الزهايمر</w:t>
            </w:r>
            <w:r>
              <w:rPr>
                <w:b/>
                <w:bCs/>
                <w:sz w:val="20"/>
                <w:szCs w:val="20"/>
                <w:rtl/>
              </w:rPr>
              <w:t xml:space="preserve"> والخرف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D8FD8E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التمييز بين الخرف </w:t>
            </w:r>
            <w:r>
              <w:rPr>
                <w:sz w:val="20"/>
                <w:szCs w:val="20"/>
                <w:rtl/>
              </w:rPr>
              <w:t>والزهايمر</w:t>
            </w:r>
            <w:r>
              <w:rPr>
                <w:sz w:val="20"/>
                <w:szCs w:val="20"/>
                <w:rtl/>
              </w:rPr>
              <w:t>، معرفة الأعراض وطرق التعامل الإنساني مع كبار السن المصابين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EBC65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استضافة طبيب مختص، عرض فيديوهات تثقيفية، وأداء أدوار تمثيلية تحاكي كيفية تقديم الرعاية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E5B968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سجل المعلم، النقاش والتواصل، والتأمل </w:t>
            </w:r>
            <w:r>
              <w:rPr>
                <w:sz w:val="20"/>
                <w:szCs w:val="20"/>
                <w:rtl/>
              </w:rPr>
              <w:t>الذاتي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F668F891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إعداد منشورات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 بالوقاية وتمارين الدماغ، وجائزة أفضل بحث علمي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CE850883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8A404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7B9315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التدخين وأضراره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91D3E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إدراك أخطار النيكوتين ومكونات السيجارة، فهم الآثار الصحية والاقتصادية، وتنظيم حملات توعية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F690D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عرض فيديوهات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، تجارب توضيحية، </w:t>
            </w:r>
            <w:r>
              <w:rPr>
                <w:sz w:val="20"/>
                <w:szCs w:val="20"/>
                <w:rtl/>
              </w:rPr>
              <w:t>أبحاث طلابية، وحملات كسب التأييد ضد التدخين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A42CF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بالتواصل، سلالم الكشط، وملاحظة الأداء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0E3E09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إطلاق حملة مدرسية شاملة لمكافحة التدخين واستخدام وسائل الإذاعة المدرسية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4CD924E8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2E0E65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67639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أجهزة الجسم الداخلية المختلفة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6C9656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مراجعة وظائف الأجهزة </w:t>
            </w:r>
            <w:r>
              <w:rPr>
                <w:sz w:val="20"/>
                <w:szCs w:val="20"/>
                <w:rtl/>
              </w:rPr>
              <w:t>الداخلية، وتطبيق ممارسات يومية للحفاظ على كفاءتها وصحتها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2B795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عرض أفلام وثائقية واستكشافية داخل الجسم، رسم الأجهزة وتوضيح التكامل والتكافل بينها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BCF075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ملف الطالب، الملاحظة، وسجل وصف سير التعلم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D6AFC4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تصميم </w:t>
            </w:r>
            <w:r>
              <w:rPr>
                <w:sz w:val="20"/>
                <w:szCs w:val="20"/>
                <w:rtl/>
              </w:rPr>
              <w:t>جدارية</w:t>
            </w:r>
            <w:r>
              <w:rPr>
                <w:sz w:val="20"/>
                <w:szCs w:val="20"/>
                <w:rtl/>
              </w:rPr>
              <w:t xml:space="preserve"> مدرسية كبرى تشمل تفاصيل أعضا</w:t>
            </w:r>
            <w:r>
              <w:rPr>
                <w:sz w:val="20"/>
                <w:szCs w:val="20"/>
                <w:rtl/>
              </w:rPr>
              <w:t>ء الجسم وطرق حمايتها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2803EB23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AA8D4C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0921D5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الحواس الخمس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1BA3A3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فهم آلية عمل الحواس، التمييز بين العادات الصحية والسيئة لحمايتها، وتقدير الأشخاص ذوي الإعاقة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8D781A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استخدام مجسمات الجمجمة والحواس، استضافة أفراد من ذوي الإعاقة البصرية/السمعية لنقل الخبرة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EF57F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تقويم معتمد على الأداء، التأمل الذاتي، وسلالم التقدير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BCD6412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إنشاء أدلة إرشادية وتخصصية للتعريف بالعيادات الطبية الخاصة بكل حاسة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B770F00E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5F8A32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BE62F94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الإدمان، أضراره وأخطاره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C30A57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استيعاب مفهوم الإدمان الشامل (سلوكي ومادي)، معرفة أسبابه، وسبل طلب المساعدة العلاجية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6520C9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محاضرات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 بالاستعانة بالمختصين، عرض مجسمات للرئتين المقارنة بين رئة المدخن وغيره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ADF275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التقويم المعتمد على الأداء، التغذية الراجعة، وقوائم الشطب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356758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إعداد مطويات </w:t>
            </w:r>
            <w:r>
              <w:rPr>
                <w:sz w:val="20"/>
                <w:szCs w:val="20"/>
                <w:rtl/>
              </w:rPr>
              <w:t>وشروحات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 حول أنواع الإدمان الحديثة وطرق الوقاية منها</w:t>
            </w:r>
            <w:r>
              <w:rPr>
                <w:sz w:val="20"/>
                <w:szCs w:val="20"/>
              </w:rPr>
              <w:t xml:space="preserve"> [cite:</w:t>
            </w:r>
            <w:r>
              <w:rPr>
                <w:sz w:val="20"/>
                <w:szCs w:val="20"/>
              </w:rPr>
              <w:t xml:space="preserve"> 1].</w:t>
            </w:r>
          </w:p>
        </w:tc>
      </w:tr>
      <w:tr w14:paraId="FC4B5F48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AF6FCF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82ACC96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الغذاء الصحي المتوازن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022E95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تصنيف المجموعات الغذائية، حساب مؤشر كتلة الجسم</w:t>
            </w:r>
            <w:r>
              <w:rPr>
                <w:sz w:val="20"/>
                <w:szCs w:val="20"/>
              </w:rPr>
              <w:t xml:space="preserve"> (BMI)</w:t>
            </w:r>
            <w:r>
              <w:rPr>
                <w:sz w:val="20"/>
                <w:szCs w:val="20"/>
                <w:rtl/>
              </w:rPr>
              <w:t>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rtl/>
              </w:rPr>
              <w:t>وتصميم خطط غذائية أسبوعية صحية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281EBA3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قياس الطول والوزن للطلبة، ورش عمل لتصنيف الأغذية الضارة والنافعة، وإعداد وجبات نموذجية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A99F8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قوائم رصد الأداء، التقويم </w:t>
            </w:r>
            <w:r>
              <w:rPr>
                <w:sz w:val="20"/>
                <w:szCs w:val="20"/>
                <w:rtl/>
              </w:rPr>
              <w:t>الواقعي، وسجل سير التعلم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D7F72B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إطلاق موقع إلكتروني للتوعية بالتغذية، ونشر مطويات الأنظمة الغذائية المتوازنة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17EC2BEF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297AA7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6043D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الحركة والرياضة وشرب الماء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EDECE26E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إدراك أثر النشاط البدني والماء على الصحة، وممارسة التمارين الرياضية كنمط حياة مستدام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AB8822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تطبيق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استبانات</w:t>
            </w:r>
            <w:r>
              <w:rPr>
                <w:sz w:val="20"/>
                <w:szCs w:val="20"/>
                <w:rtl/>
              </w:rPr>
              <w:t xml:space="preserve"> اللياقة البدنية، ممارسة أنشطة رياضية جماعية، وكتابة مقالات </w:t>
            </w:r>
            <w:r>
              <w:rPr>
                <w:sz w:val="20"/>
                <w:szCs w:val="20"/>
                <w:rtl/>
              </w:rPr>
              <w:t>توعوية</w:t>
            </w:r>
            <w:r>
              <w:rPr>
                <w:sz w:val="20"/>
                <w:szCs w:val="20"/>
                <w:rtl/>
              </w:rPr>
              <w:t xml:space="preserve"> مكثفة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A9B1EEB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التأمل الذاتي، التغذية الراجعة، وتبادل الأدوار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CCCB50A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إعداد مقالات علمية تثقيفية حول فوائد شرب الماء والرياضة على الصحة النفسية والجسدية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B38B5565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2C36A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C3291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أمراض </w:t>
            </w:r>
            <w:r>
              <w:rPr>
                <w:b/>
                <w:bCs/>
                <w:sz w:val="20"/>
                <w:szCs w:val="20"/>
                <w:rtl/>
              </w:rPr>
              <w:t>كبار السن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E87AB09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تعلم مهارات الفحص الأولي (الضغط، السكر، النبض)، قراءة التقارير الطبية، ورعاية كبار السن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C7846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استضافة ممرض لتطبيق قياس العلامات الحيوية، تحليل تقارير طبية، وإنشاء سجلات متابعة منزلية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059779A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سلالم التقدير اللفظية، السجل القصصي، وتقويم </w:t>
            </w:r>
            <w:r>
              <w:rPr>
                <w:sz w:val="20"/>
                <w:szCs w:val="20"/>
                <w:rtl/>
              </w:rPr>
              <w:t>الأقران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E98EC46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متابعة القياسات الدورية لكبار السن وتزويد الأطباء </w:t>
            </w:r>
            <w:r>
              <w:rPr>
                <w:sz w:val="20"/>
                <w:szCs w:val="20"/>
                <w:rtl/>
              </w:rPr>
              <w:t>بها</w:t>
            </w:r>
            <w:r>
              <w:rPr>
                <w:sz w:val="20"/>
                <w:szCs w:val="20"/>
                <w:rtl/>
              </w:rPr>
              <w:t>، لضمان استدامة الرعاية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  <w:tr w14:paraId="E677A5E8">
        <w:tblPrEx/>
        <w:trPr>
          <w:cantSplit/>
          <w:tblHeader/>
        </w:trPr>
        <w:tc>
          <w:tcPr>
            <w:tcW w:w="46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AA9FF9DC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9AF6035F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النظافة الشخصية ومجالاتها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53F635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اكتساب عادات النظافة الشخصية اليومية والأسيوية، والعناية بالفم والشعر والأظافر والأجهزة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706130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عروض بطاقات إرشادية</w:t>
            </w:r>
            <w:r>
              <w:rPr>
                <w:sz w:val="20"/>
                <w:szCs w:val="20"/>
                <w:rtl/>
              </w:rPr>
              <w:t>، ورش عمل تطبيقية لغسيل الأيدي والأسنان، وتنظيف البيئة الصفية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B7BF37D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قوائم الشطب، سجل المعلم، والملاحظة المباشرة</w:t>
            </w:r>
            <w:r>
              <w:rPr>
                <w:sz w:val="20"/>
                <w:szCs w:val="20"/>
              </w:rPr>
              <w:t xml:space="preserve"> [cite: 1].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DE8A6F42">
            <w:pPr>
              <w:pStyle w:val="style4098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تطبيق جدول متابعة يومي للنظافة الشخصية وتحويلها إلى سلوك ممارس بشكل دائم</w:t>
            </w:r>
            <w:r>
              <w:rPr>
                <w:sz w:val="20"/>
                <w:szCs w:val="20"/>
              </w:rPr>
              <w:t xml:space="preserve"> [cite: 1].</w:t>
            </w:r>
          </w:p>
        </w:tc>
      </w:tr>
    </w:tbl>
    <w:p w14:paraId="A312B2D1">
      <w:pPr>
        <w:pStyle w:val="style2"/>
        <w:bidi/>
        <w:rPr/>
      </w:pPr>
      <w:r>
        <w:rPr>
          <w:rtl/>
        </w:rPr>
        <w:t>ثالثاً: آلية متابعة وتنفيذ الخطة</w:t>
      </w:r>
    </w:p>
    <w:p w14:paraId="70ED895A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/>
        <w:pict>
          <v:rect id="1028" fillcolor="#a0a0a0" stroked="f" style="margin-left:0.0pt;margin-top:0.0pt;width:0.0pt;height:1.5pt;mso-wrap-distance-left:0.0pt;mso-wrap-distance-right:0.0pt;visibility:visible;" o:hr="t" o:hralign="right" o:hrstd="t">
            <v:stroke on="f"/>
            <v:fill/>
          </v:rect>
        </w:pict>
      </w:r>
      <w:r>
        <w:rPr>
          <w:b/>
          <w:bCs/>
          <w:rtl/>
        </w:rPr>
        <w:t xml:space="preserve">التنظيم </w:t>
      </w:r>
      <w:r>
        <w:rPr>
          <w:b/>
          <w:bCs/>
          <w:rtl/>
        </w:rPr>
        <w:t>والمرونة</w:t>
      </w:r>
      <w:r>
        <w:rPr>
          <w:b/>
          <w:bCs/>
        </w:rPr>
        <w:t>:</w:t>
      </w:r>
      <w:r>
        <w:t xml:space="preserve"> </w:t>
      </w:r>
      <w:r>
        <w:rPr>
          <w:rtl/>
        </w:rPr>
        <w:t>تُنفذ أنشطة هذه الخطة على مدار العام الدراسي بمرونة تامة حسب الجدول الزمني والإمكانيات المتاحة للمدرسة</w:t>
      </w:r>
      <w:r>
        <w:t xml:space="preserve"> [cite: 1].</w:t>
      </w:r>
    </w:p>
    <w:p w14:paraId="7A6D4433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rPr/>
      </w:pPr>
      <w:r>
        <w:rPr>
          <w:b/>
          <w:bCs/>
          <w:rtl/>
        </w:rPr>
        <w:t>التكامل المنهجي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يراعى ربط الأنشطة بالمواد الدراسية ذات العلاقة مثل العلوم، اللغة العربية، والتربية الرياضية</w:t>
      </w:r>
      <w:r>
        <w:t xml:space="preserve"> [cite: 1].</w:t>
      </w:r>
    </w:p>
    <w:p w14:paraId="44DA4864">
      <w:pPr>
        <w:pStyle w:val="style4098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</w:rPr>
      </w:pPr>
      <w:r>
        <w:rPr>
          <w:b/>
          <w:bCs/>
          <w:rtl/>
        </w:rPr>
        <w:t xml:space="preserve">التوثيق </w:t>
      </w:r>
      <w:r>
        <w:rPr>
          <w:b/>
          <w:bCs/>
          <w:rtl/>
        </w:rPr>
        <w:t>والتأمل</w:t>
      </w:r>
      <w:r>
        <w:rPr>
          <w:b/>
          <w:bCs/>
        </w:rPr>
        <w:t>:</w:t>
      </w:r>
      <w:r>
        <w:t xml:space="preserve"> </w:t>
      </w:r>
      <w:r>
        <w:rPr>
          <w:rtl/>
        </w:rPr>
        <w:t xml:space="preserve">يُوثق كل نشاط في "ملف إنجاز المجال الصحي" الخاص بالمدرسة مع حفظ </w:t>
      </w:r>
      <w:r>
        <w:rPr>
          <w:rtl/>
        </w:rPr>
        <w:t>نتاجات</w:t>
      </w:r>
      <w:r>
        <w:rPr>
          <w:rtl/>
        </w:rPr>
        <w:t xml:space="preserve"> الطلبة وأوراق العمل </w:t>
      </w:r>
      <w:r>
        <w:rPr>
          <w:rtl/>
        </w:rPr>
        <w:t>واستبانات</w:t>
      </w:r>
      <w:r>
        <w:rPr>
          <w:rtl/>
        </w:rPr>
        <w:t xml:space="preserve"> التقويم</w:t>
      </w:r>
      <w:r>
        <w:t xml:space="preserve"> [cite: 1].</w:t>
      </w:r>
    </w:p>
    <w:p w14:paraId="E4C430D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CA819F7A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6FC2E095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EA658DE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11D01AA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73312A6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DC705E3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A9272338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37030704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53F33E9D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88DAA90B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69F77783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D3E67E9C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6"/>
          <w:szCs w:val="36"/>
          <w:lang w:bidi="ar-JO"/>
        </w:rPr>
      </w:pPr>
      <w:r>
        <w:rPr>
          <w:rFonts w:ascii="Microsoft Sans Serif" w:cs="Microsoft Sans Serif" w:eastAsia="Times New Roman" w:hAnsi="Microsoft Sans Serif"/>
          <w:b/>
          <w:bCs/>
          <w:noProof/>
          <w:sz w:val="36"/>
          <w:szCs w:val="36"/>
        </w:rPr>
        <w:drawing>
          <wp:inline distL="0" distT="0" distB="0" distR="0">
            <wp:extent cx="1023620" cy="1003300"/>
            <wp:effectExtent l="19050" t="0" r="5080" b="0"/>
            <wp:docPr id="1029" name="صورة 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20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8D06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14:paraId="8796A53E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14:paraId="C133D88A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D6443909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هذا العمل حصري لدى موقع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الايمان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التعليمي </w:t>
      </w:r>
    </w:p>
    <w:p w14:paraId="7743663C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>(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cs="Times New Roman" w:eastAsia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  <w:t xml:space="preserve">) </w:t>
      </w:r>
    </w:p>
    <w:p w14:paraId="3A66F551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</w:p>
    <w:p w14:paraId="6AF301C3">
      <w:pPr>
        <w:pStyle w:val="style0"/>
        <w:bidi/>
        <w:jc w:val="center"/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وهو متاح لجميع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الاعضاء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والزوار بنسخته المجانية ويمنع النقل من قبل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اي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موقع تعليمي 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>اخر</w:t>
      </w:r>
      <w:r>
        <w:rPr>
          <w:rFonts w:ascii="Times New Roman" w:cs="Times New Roman" w:eastAsia="Times New Roman" w:hAnsi="Times New Roman"/>
          <w:b/>
          <w:bCs/>
          <w:sz w:val="40"/>
          <w:szCs w:val="40"/>
          <w:rtl/>
          <w:lang w:bidi="ar-JO"/>
        </w:rPr>
        <w:t xml:space="preserve"> وتحت طائلة المسؤولية. </w:t>
      </w:r>
    </w:p>
    <w:p w14:paraId="D7CB1EE8">
      <w:pPr>
        <w:pStyle w:val="style0"/>
        <w:bidi/>
        <w:rPr>
          <w:rFonts w:ascii="Times New Roman" w:cs="Times New Roman" w:eastAsia="Times New Roman" w:hAnsi="Times New Roman"/>
          <w:b/>
          <w:bCs/>
          <w:sz w:val="40"/>
          <w:szCs w:val="40"/>
          <w:lang w:bidi="ar-JO"/>
        </w:rPr>
      </w:pPr>
    </w:p>
    <w:p w14:paraId="389EDA3B">
      <w:pPr>
        <w:pStyle w:val="style0"/>
        <w:bidi/>
        <w:jc w:val="center"/>
        <w:rPr>
          <w:rFonts w:ascii="Microsoft Sans Serif" w:cs="Microsoft Sans Serif" w:eastAsia="Times New Roman" w:hAnsi="Microsoft Sans Serif"/>
          <w:b/>
          <w:bCs/>
          <w:sz w:val="32"/>
          <w:szCs w:val="32"/>
          <w:rtl/>
          <w:lang w:bidi="ar-JO"/>
        </w:rPr>
      </w:pPr>
    </w:p>
    <w:p w14:paraId="B595B60B">
      <w:pPr>
        <w:pStyle w:val="style0"/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auto" w:fill="eaf1dd"/>
        <w:bidi/>
        <w:jc w:val="center"/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>اعداد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 فريق موقع 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>الايمان</w:t>
      </w:r>
      <w:r>
        <w:rPr>
          <w:rFonts w:ascii="Times New Roman" w:cs="Times New Roman" w:eastAsia="Times New Roman" w:hAnsi="Times New Roman"/>
          <w:b/>
          <w:bCs/>
          <w:sz w:val="44"/>
          <w:szCs w:val="44"/>
          <w:rtl/>
          <w:lang w:bidi="ar-JO"/>
        </w:rPr>
        <w:t xml:space="preserve"> </w:t>
      </w:r>
    </w:p>
    <w:p w14:paraId="492D6E3D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43068F38">
      <w:pPr>
        <w:pStyle w:val="style0"/>
        <w:bidi/>
        <w:jc w:val="center"/>
        <w:rPr>
          <w:rFonts w:ascii="Microsoft Sans Serif" w:cs="Microsoft Sans Serif" w:hAnsi="Microsoft Sans Serif"/>
          <w:b/>
          <w:bCs/>
          <w:sz w:val="28"/>
          <w:szCs w:val="28"/>
          <w:rtl/>
          <w:lang w:bidi="ar-JO"/>
        </w:rPr>
      </w:pPr>
    </w:p>
    <w:p w14:paraId="89379A5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19BE4F7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2C79786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68B90EB9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07426A00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A509BBEF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p w14:paraId="99ABA58C">
      <w:pPr>
        <w:pStyle w:val="style4098"/>
        <w:pBdr>
          <w:left w:val="nil"/>
          <w:right w:val="nil"/>
          <w:top w:val="nil"/>
          <w:bottom w:val="nil"/>
          <w:between w:val="nil"/>
        </w:pBdr>
        <w:bidi/>
        <w:spacing w:after="75"/>
        <w:rPr>
          <w:rFonts w:hint="cs"/>
          <w:rtl/>
          <w:lang w:bidi="ar-JO"/>
        </w:rPr>
      </w:pPr>
    </w:p>
    <w:sectPr>
      <w:pgSz w:w="12240" w:h="15840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auto"/>
    <w:pitch w:val="default"/>
    <w:sig w:usb0="00000000" w:usb1="00000000" w:usb2="00000000" w:usb3="00000000" w:csb0="0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63628EC"/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A3208CCA"/>
    <w:lvl w:ilvl="0">
      <w:start w:val="1"/>
      <w:numFmt w:val="decimal"/>
      <w:lvlText w:val="%1."/>
      <w:lvlJc w:val="left"/>
      <w:pPr>
        <w:ind w:left="3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TrueTypeFonts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widowControl w:val="false"/>
        <w:spacing w:lineRule="auto" w:line="300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40" w:after="150"/>
      <w:jc w:val="center"/>
      <w:outlineLvl w:val="0"/>
    </w:pPr>
    <w:rPr>
      <w:b/>
      <w:bCs/>
      <w:color w:val="1a365d"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75" w:after="300"/>
      <w:outlineLvl w:val="1"/>
    </w:pPr>
    <w:rPr>
      <w:b/>
      <w:bCs/>
      <w:color w:val="2b6cb0"/>
      <w:sz w:val="32"/>
      <w:szCs w:val="32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25" w:after="150"/>
      <w:outlineLvl w:val="2"/>
    </w:pPr>
    <w:rPr>
      <w:b/>
      <w:bCs/>
      <w:color w:val="2d3748"/>
      <w:sz w:val="26"/>
      <w:szCs w:val="26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62">
    <w:name w:val="Title"/>
    <w:basedOn w:val="style4098"/>
    <w:next w:val="style4098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0"/>
    <w:uiPriority w:val="99"/>
    <w:pPr>
      <w:spacing w:lineRule="auto" w:line="240"/>
    </w:pPr>
    <w:rPr>
      <w:rFonts w:ascii="Tahoma" w:cs="Tahoma" w:hAnsi="Tahoma"/>
      <w:sz w:val="16"/>
      <w:szCs w:val="16"/>
    </w:rPr>
  </w:style>
  <w:style w:type="character" w:customStyle="1" w:styleId="style4100">
    <w:name w:val="نص في بالون Char"/>
    <w:basedOn w:val="style65"/>
    <w:next w:val="style4100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931</Words>
  <Pages>1</Pages>
  <Characters>5366</Characters>
  <Application>WPS Office</Application>
  <DocSecurity>0</DocSecurity>
  <Paragraphs>141</Paragraphs>
  <ScaleCrop>false</ScaleCrop>
  <LinksUpToDate>false</LinksUpToDate>
  <CharactersWithSpaces>6207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٢٠٢٦-٠٨-٣١T٠٣:٥١:٠٠Z</dcterms:created>
  <dc:creator>WPS Office</dc:creator>
  <lastModifiedBy>SM-S928B</lastModifiedBy>
  <dcterms:modified xsi:type="dcterms:W3CDTF">٢٠٢٦-٠٨-٣١T١٦:٥٢:٣٢Z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36514a3437e74b40b4da7ea92a02e75d_23</vt:lpwstr>
  </property>
</Properties>
</file>