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516AB3CF">
      <w:pPr>
        <w:pStyle w:val="style1"/>
        <w:bidi/>
        <w:jc w:val="left"/>
        <w:rPr/>
      </w:pPr>
      <w:r>
        <w:rPr>
          <w:rFonts w:hint="cs"/>
          <w:rtl/>
          <w:lang w:bidi="ar-DZ"/>
        </w:rPr>
        <w:t xml:space="preserve">خطة النشاط الحر </w:t>
      </w:r>
      <w:r>
        <w:rPr>
          <w:rFonts w:hint="default"/>
          <w:rtl/>
          <w:lang w:val="en-US" w:bidi="ar-DZ"/>
        </w:rPr>
        <w:t>(</w:t>
      </w:r>
      <w:r>
        <w:rPr>
          <w:rFonts w:hint="cs"/>
          <w:rtl/>
          <w:lang w:val="en-US" w:bidi="ar-DZ"/>
        </w:rPr>
        <w:t>المجال الفني</w:t>
      </w:r>
      <w:r>
        <w:rPr>
          <w:rFonts w:hint="default"/>
          <w:rtl/>
          <w:lang w:val="en-US" w:bidi="ar-DZ"/>
        </w:rPr>
        <w:t xml:space="preserve">) </w:t>
      </w:r>
    </w:p>
    <w:p w14:paraId="1B4E69AF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150"/>
        <w:rPr>
          <w:b/>
          <w:bCs/>
          <w:color w:val="4a5568"/>
          <w:sz w:val="24"/>
          <w:szCs w:val="24"/>
        </w:rPr>
      </w:pPr>
      <w:r>
        <w:rPr>
          <w:b/>
          <w:bCs/>
          <w:color w:val="4a5568"/>
          <w:sz w:val="24"/>
          <w:szCs w:val="24"/>
          <w:rtl/>
        </w:rPr>
        <w:t>مستندة إلى دليل الأنشطة المدرسية - المجال الفني (المركز الوطني لتطوير المناهج / وزارة التربية والتعليم)</w:t>
      </w:r>
    </w:p>
    <w:p w14:paraId="D9D082D3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before="180" w:after="555"/>
        <w:ind w:left="180" w:right="180"/>
        <w:rPr>
          <w:b/>
          <w:bCs/>
          <w:color w:val="4a5568"/>
          <w:sz w:val="24"/>
          <w:szCs w:val="24"/>
        </w:rPr>
      </w:pPr>
    </w:p>
    <w:p w14:paraId="1C197F80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150"/>
        <w:ind w:left="180" w:right="180"/>
        <w:rPr>
          <w:shd w:val="clear" w:color="auto" w:fill="ebf8ff"/>
        </w:rPr>
      </w:pPr>
      <w:r>
        <w:rPr>
          <w:b/>
          <w:bCs/>
          <w:shd w:val="clear" w:color="auto" w:fill="ebf8ff"/>
          <w:rtl/>
        </w:rPr>
        <w:t>المملكة الأردنية الهاشمية</w:t>
      </w:r>
      <w:r>
        <w:rPr>
          <w:shd w:val="clear" w:color="auto" w:fill="ebf8ff"/>
          <w:rtl/>
        </w:rPr>
        <w:t xml:space="preserve"> | وزارة التربية والتعليم</w:t>
      </w:r>
    </w:p>
    <w:p w14:paraId="2720A96E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150"/>
        <w:ind w:left="180" w:right="180"/>
        <w:rPr>
          <w:shd w:val="clear" w:color="auto" w:fill="ebf8ff"/>
        </w:rPr>
      </w:pPr>
      <w:r>
        <w:rPr>
          <w:b/>
          <w:bCs/>
          <w:shd w:val="clear" w:color="auto" w:fill="ebf8ff"/>
          <w:rtl/>
        </w:rPr>
        <w:t>المجال:</w:t>
      </w:r>
      <w:r>
        <w:rPr>
          <w:shd w:val="clear" w:color="auto" w:fill="ebf8ff"/>
          <w:rtl/>
        </w:rPr>
        <w:t xml:space="preserve"> الفني التطبيقي والتشكيلي والبيئي</w:t>
      </w:r>
    </w:p>
    <w:p w14:paraId="264817E1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150"/>
        <w:ind w:left="180" w:right="180"/>
        <w:rPr>
          <w:shd w:val="clear" w:color="auto" w:fill="ebf8ff"/>
        </w:rPr>
      </w:pPr>
      <w:r>
        <w:rPr>
          <w:b/>
          <w:bCs/>
          <w:shd w:val="clear" w:color="auto" w:fill="ebf8ff"/>
          <w:rtl/>
        </w:rPr>
        <w:t>الفئة المستهدفة:</w:t>
      </w:r>
      <w:r>
        <w:rPr>
          <w:shd w:val="clear" w:color="auto" w:fill="ebf8ff"/>
          <w:rtl/>
        </w:rPr>
        <w:t xml:space="preserve"> </w:t>
      </w:r>
      <w:r>
        <w:rPr>
          <w:shd w:val="clear" w:color="auto" w:fill="ebf8ff"/>
          <w:rtl/>
        </w:rPr>
        <w:t>جميع المراحل الدراسية (مع مراعاة الفروق الفردية ومتطلبات ذوي الإعاقة)</w:t>
      </w:r>
    </w:p>
    <w:p w14:paraId="8B7D3741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150"/>
        <w:ind w:left="180" w:right="180"/>
        <w:rPr>
          <w:shd w:val="clear" w:color="auto" w:fill="ebf8ff"/>
        </w:rPr>
      </w:pPr>
      <w:r>
        <w:rPr>
          <w:b/>
          <w:bCs/>
          <w:shd w:val="clear" w:color="auto" w:fill="ebf8ff"/>
          <w:rtl/>
        </w:rPr>
        <w:t>المشرف/المعلم المسؤول:</w:t>
      </w:r>
      <w:r>
        <w:rPr>
          <w:shd w:val="clear" w:color="auto" w:fill="ebf8ff"/>
        </w:rPr>
        <w:t xml:space="preserve"> ______________________</w:t>
      </w:r>
    </w:p>
    <w:p w14:paraId="6A45BC19">
      <w:pPr>
        <w:pStyle w:val="style2"/>
        <w:bidi/>
        <w:spacing w:before="0"/>
        <w:rPr/>
      </w:pPr>
      <w:r>
        <w:rPr>
          <w:rtl/>
        </w:rPr>
        <w:t>أولاً: الأهداف العامة لمعيار المجال الفني</w:t>
      </w:r>
    </w:p>
    <w:p w14:paraId="4FEEAFD4">
      <w:pPr>
        <w:pStyle w:val="style4098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/>
        <w:pict>
          <v:rect id="1026" fillcolor="#a0a0a0" stroked="f" style="margin-left:0.0pt;margin-top:0.0pt;width:0.0pt;height:1.5pt;mso-wrap-distance-left:0.0pt;mso-wrap-distance-right:0.0pt;visibility:visible;" o:hr="t" o:hralign="right" o:hrstd="t">
            <v:stroke on="f"/>
            <v:fill/>
          </v:rect>
        </w:pict>
      </w:r>
      <w:r>
        <w:rPr>
          <w:rtl/>
        </w:rPr>
        <w:t>تزويد الطلبة بالمعرفة الشاملة حول الفنون التطبيقية والتشكيلية ومختلف المدارس الفنية.</w:t>
      </w:r>
    </w:p>
    <w:p w14:paraId="77E697F0">
      <w:pPr>
        <w:pStyle w:val="style4098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rtl/>
        </w:rPr>
        <w:t xml:space="preserve">اكتشاف </w:t>
      </w:r>
      <w:r>
        <w:rPr>
          <w:rtl/>
        </w:rPr>
        <w:t>المواهب الفنية الواعدة وتنميتها وصقل مهاراتها بشكل مستدام.</w:t>
      </w:r>
    </w:p>
    <w:p w14:paraId="C3F2AD38">
      <w:pPr>
        <w:pStyle w:val="style4098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rtl/>
        </w:rPr>
        <w:t>غرس القيم الجمالية والفنية، وتعزيز مهارات التذوق الفني لدى الطلبة.</w:t>
      </w:r>
    </w:p>
    <w:p w14:paraId="3D36A87D">
      <w:pPr>
        <w:pStyle w:val="style4098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rtl/>
        </w:rPr>
        <w:t>توجيه منظومة القيم والسلوك على أسس فنية وأخلاقية تنبثق من فلسفة التربية والتعليم.</w:t>
      </w:r>
    </w:p>
    <w:p w14:paraId="941E7B45">
      <w:pPr>
        <w:pStyle w:val="style4098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spacing w:after="75"/>
        <w:ind w:right="300"/>
        <w:rPr/>
      </w:pPr>
      <w:r>
        <w:rPr>
          <w:rtl/>
        </w:rPr>
        <w:t>ربط الفن بالبيئة المحلية والتراث الوطني وتعزيز ث</w:t>
      </w:r>
      <w:r>
        <w:rPr>
          <w:rtl/>
        </w:rPr>
        <w:t>قافة إعادة التدوير والابتكار الريادي.</w:t>
      </w:r>
    </w:p>
    <w:p w14:paraId="74A3EB6E">
      <w:pPr>
        <w:pStyle w:val="style2"/>
        <w:bidi/>
        <w:rPr/>
      </w:pPr>
      <w:r>
        <w:rPr>
          <w:rtl/>
        </w:rPr>
        <w:t>ثانياً: جدول الخطة الزمنية والتوزيع السنوي للأنشطة السبعة</w:t>
      </w:r>
    </w:p>
    <w:p w14:paraId="A346F270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225"/>
        <w:rPr/>
      </w:pPr>
      <w:r>
        <w:rPr/>
        <w:pict>
          <v:rect id="1027" fillcolor="#a0a0a0" stroked="f" style="margin-left:0.0pt;margin-top:0.0pt;width:0.0pt;height:1.5pt;mso-wrap-distance-left:0.0pt;mso-wrap-distance-right:0.0pt;visibility:visible;" o:hr="t" o:hralign="right" o:hrstd="t">
            <v:stroke on="f"/>
            <v:fill/>
          </v:rect>
        </w:pict>
      </w:r>
      <w:r>
        <w:rPr>
          <w:rtl/>
        </w:rPr>
        <w:t>يتضمن جدول الخطة الأنشطة السبعة المقررة في الدليل موزعة على الأسابيع والفصول الدراسية مع تفاصيل التنفيذ والتقويم:</w:t>
      </w:r>
    </w:p>
    <w:tbl>
      <w:tblPr>
        <w:tblStyle w:val="style4099"/>
        <w:bidiVisual/>
        <w:tblW w:w="9360" w:type="dxa"/>
        <w:tblInd w:w="50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1560"/>
        <w:gridCol w:w="1560"/>
        <w:gridCol w:w="1560"/>
        <w:gridCol w:w="1560"/>
        <w:gridCol w:w="1560"/>
      </w:tblGrid>
      <w:tr w14:paraId="CCBF683B">
        <w:trPr>
          <w:cantSplit/>
          <w:tblHeader/>
        </w:trPr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D3A79B3D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50" w:after="150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  <w:rtl/>
              </w:rPr>
              <w:t>رقم النشاط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C4405793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50" w:after="150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  <w:rtl/>
              </w:rPr>
              <w:t>اسم النشاط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682EC63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50" w:after="150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  <w:rtl/>
              </w:rPr>
              <w:t>الزمن (بالحصص)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8824507D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50" w:after="150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  <w:rtl/>
              </w:rPr>
              <w:t xml:space="preserve">الأهداف </w:t>
            </w:r>
            <w:r>
              <w:rPr>
                <w:b/>
                <w:bCs/>
                <w:color w:val="ffffff"/>
                <w:sz w:val="20"/>
                <w:szCs w:val="20"/>
                <w:rtl/>
              </w:rPr>
              <w:t>والمخرجات الرئيسية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7898F67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50" w:after="150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  <w:rtl/>
              </w:rPr>
              <w:t>الأدوات والتجهيزات المطلوبة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268E0AD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50" w:after="150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  <w:rtl/>
              </w:rPr>
              <w:t>استراتيجيات وأدوات التقويم</w:t>
            </w:r>
          </w:p>
          <w:p w14:paraId="1108F9B2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rPr/>
            </w:pPr>
            <w:r>
              <w:t xml:space="preserve"> </w:t>
            </w:r>
          </w:p>
        </w:tc>
      </w:tr>
      <w:tr w14:paraId="F9BFF423">
        <w:tblPrEx/>
        <w:trPr>
          <w:cantSplit/>
          <w:tblHeader/>
        </w:trPr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E14991E1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>النشاط 1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B7D4725E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لوحة وفنان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56970A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4 حصص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05AEE1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التعرف على اللوحات المحلية والعالمية، تمييز المدارس الفنية، وتنمية مهارات التحليل البصري والتعبير اللغوي.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DEA493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صور لوحات متنوعة، كرتون أبيض، أقلام، قاعة صفية.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D606D4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التقويم المعتمد على الأداء، سجل الطالب، السجل القصصي.</w:t>
            </w:r>
          </w:p>
        </w:tc>
      </w:tr>
      <w:tr w14:paraId="762896C1">
        <w:tblPrEx/>
        <w:trPr>
          <w:cantSplit/>
          <w:tblHeader/>
        </w:trPr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227EC9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>النشاط 2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8D1586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خط عربي ولوحة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890D9136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4 حصص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9F476E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إدراك أنواع الخطوط العربية، وفهم دور الخط في الفن التشكيلي، وتعزيز الاعتزاز بالهوية والتراث العربي.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17D57E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لوحات بيضاء، أقلام ملونة، أقلام فحم أسود، نماذج خطوط.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D6158C8A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 xml:space="preserve">التأمل الذاتي، </w:t>
            </w:r>
            <w:r>
              <w:rPr>
                <w:sz w:val="20"/>
                <w:szCs w:val="20"/>
                <w:rtl/>
              </w:rPr>
              <w:t>ملف الطالب، مسابقة الخطاط المدرسي.</w:t>
            </w:r>
          </w:p>
        </w:tc>
      </w:tr>
      <w:tr w14:paraId="2E8BB8AF">
        <w:tblPrEx/>
        <w:trPr>
          <w:cantSplit/>
          <w:tblHeader/>
        </w:trPr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FC03E6BE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>النشاط 3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39E9FA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التشكيل بالطين - الصلصال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AFF923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5 حصص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1C1138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ممارسة المهارات الحركية الدقيقة (عضلات اليدين)، وتنمية التناسق البصري الحركي وصناعة أشكال تطبيقية.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88A7E245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عجينة الصلصال بألوان وأحجام مختلفة، أدوات تشكيل آمنة.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7FC87F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 xml:space="preserve">التقويم الواقعي، ملاحظة </w:t>
            </w:r>
            <w:r>
              <w:rPr>
                <w:sz w:val="20"/>
                <w:szCs w:val="20"/>
                <w:rtl/>
              </w:rPr>
              <w:t>المهارات الحركية، معرض الصلصال.</w:t>
            </w:r>
          </w:p>
        </w:tc>
      </w:tr>
      <w:tr w14:paraId="80189FD0">
        <w:tblPrEx/>
        <w:trPr>
          <w:cantSplit/>
          <w:tblHeader/>
        </w:trPr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A52EFC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>النشاط 4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CA0D0A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الألوان والطبيعة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554A45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6 حصص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60FD5D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استيعاب الألوان الأساسية، وفهم الفيزياء البسيطة لتشكل الألوان، وربط دلالات الألوان بالطبيعة والمشاعر.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F6BD4396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علب ألوان متنوعة، أوراق رسم، أدوات نظافة وغسيل.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869350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 xml:space="preserve">التقويم بالتواصل، مراجعة الذات، مسابقة </w:t>
            </w:r>
            <w:r>
              <w:rPr>
                <w:sz w:val="20"/>
                <w:szCs w:val="20"/>
                <w:rtl/>
              </w:rPr>
              <w:t>الرسم بالألوان.</w:t>
            </w:r>
          </w:p>
        </w:tc>
      </w:tr>
      <w:tr w14:paraId="CB6689AB">
        <w:tblPrEx/>
        <w:trPr>
          <w:cantSplit/>
          <w:tblHeader/>
        </w:trPr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CDF63C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>النشاط 5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CF46777F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إعادة تدوير المواد التالفة والضارة بالبيئة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F25A430F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4 حصص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AB5ACA8F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التعرف على فن التدوير، استغلال البلاستيك والزجاج والعلب لتحويلها لقطع فنية، وغرس قيم الحفاظ على البيئة.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B869AD7F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زجاج، بلاستيك، علب معدنية تالفة، طلاء، مواد ورقية.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8923B35C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التقويم المعتمد على الأداء</w:t>
            </w:r>
            <w:r>
              <w:rPr>
                <w:sz w:val="20"/>
                <w:szCs w:val="20"/>
                <w:rtl/>
              </w:rPr>
              <w:t>، السجل القصصي، معرض التدوير.</w:t>
            </w:r>
          </w:p>
        </w:tc>
      </w:tr>
      <w:tr w14:paraId="AAD06953">
        <w:tblPrEx/>
        <w:trPr>
          <w:cantSplit/>
          <w:tblHeader/>
        </w:trPr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AE7DB345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>النشاط 6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5BAED3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أصمم الأشكال بطريقة مبدعة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6CBDAE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6 حصص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9417AE60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التعرف على الفن التصميمي (الجرافيكي، الداخلي، الصناعي)، وتنمية مهارات التخطيط وإدارة الوقت والعمل الجماعي.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0ED139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مجسمات فنية، صور، طاولات عمل، طباشير، كرتون مقوى.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FF856E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 xml:space="preserve">تقويم الأقران، ملف الطالب، </w:t>
            </w:r>
            <w:r>
              <w:rPr>
                <w:sz w:val="20"/>
                <w:szCs w:val="20"/>
                <w:rtl/>
              </w:rPr>
              <w:t>مشغل الفن التصميمي المدرسي.</w:t>
            </w:r>
          </w:p>
        </w:tc>
      </w:tr>
      <w:tr w14:paraId="5A917021">
        <w:tblPrEx/>
        <w:trPr>
          <w:cantSplit/>
          <w:tblHeader/>
        </w:trPr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6617C9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>النشاط 7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4F4120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الفن المرئي: أبصر، أتذوق، أعبر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9D682D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6 حصص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B497F960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التمييز بين الفنون التشكيلية والتعبيرية والتطبيقية، ومواكبة الفنون الحديثة كالفيديو والغرافيك وتعميق التذوق البصري.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D2285C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صور فوتوغرافية، خزف، سيراميك، فيديوهات وثائقية، عروض رقمية.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FC2077F8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التقويم الواقعي، التأمل الذاتي، معرض الفن المرئي المدرسي.</w:t>
            </w:r>
          </w:p>
        </w:tc>
      </w:tr>
    </w:tbl>
    <w:p w14:paraId="84140F20">
      <w:pPr>
        <w:pStyle w:val="style2"/>
        <w:bidi/>
        <w:rPr/>
      </w:pPr>
      <w:r>
        <w:rPr>
          <w:rtl/>
        </w:rPr>
        <w:t>ثالثاً: التفاصيل الإجرائية والتنفيذية للأنشطة السبعة</w:t>
      </w:r>
    </w:p>
    <w:p w14:paraId="91B69FF6">
      <w:pPr>
        <w:pStyle w:val="style3"/>
        <w:bidi/>
        <w:spacing w:before="0"/>
        <w:rPr/>
      </w:pPr>
      <w:r>
        <w:rPr/>
        <w:pict>
          <v:rect id="1028" fillcolor="#a0a0a0" stroked="f" style="margin-left:0.0pt;margin-top:0.0pt;width:0.0pt;height:1.5pt;mso-wrap-distance-left:0.0pt;mso-wrap-distance-right:0.0pt;visibility:visible;" o:hr="t" o:hralign="right" o:hrstd="t">
            <v:stroke on="f"/>
            <v:fill/>
          </v:rect>
        </w:pict>
      </w:r>
      <w:r>
        <w:rPr>
          <w:rtl/>
        </w:rPr>
        <w:t>النشاط الأول: لوحة وفنان</w:t>
      </w:r>
    </w:p>
    <w:p w14:paraId="EF3B76A5">
      <w:pPr>
        <w:pStyle w:val="style4098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b/>
          <w:bCs/>
          <w:rtl/>
        </w:rPr>
        <w:t>إجراءات التنفيذ:</w:t>
      </w:r>
      <w:r>
        <w:rPr>
          <w:rtl/>
        </w:rPr>
        <w:t xml:space="preserve"> عرض مجموعة صور لوحات عالمية ومحلية أمام الطلبة، تقسيم الطلبة لفرق وتوزيع بطاقات كرتونية بأسماء </w:t>
      </w:r>
      <w:r>
        <w:rPr>
          <w:rtl/>
        </w:rPr>
        <w:t>الفنانين، مطابقة اسم الفنان باللوحة المناسبة، مناقشة القصة والمعنى خلف 3 لوحات مختارة.</w:t>
      </w:r>
    </w:p>
    <w:p w14:paraId="C8D58273">
      <w:pPr>
        <w:pStyle w:val="style4098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bidi/>
        <w:spacing w:after="75"/>
        <w:ind w:right="300"/>
        <w:rPr/>
      </w:pPr>
      <w:r>
        <w:rPr>
          <w:b/>
          <w:bCs/>
          <w:rtl/>
        </w:rPr>
        <w:t>الكفايات المستهدفة:</w:t>
      </w:r>
      <w:r>
        <w:rPr>
          <w:rtl/>
        </w:rPr>
        <w:t xml:space="preserve"> معرفة المدارس الفنية، استخدام المهارات البصرية واللغوية، التفكير الناقد والتحليل.</w:t>
      </w:r>
    </w:p>
    <w:p w14:paraId="072E178C">
      <w:pPr>
        <w:pStyle w:val="style3"/>
        <w:bidi/>
        <w:rPr/>
      </w:pPr>
      <w:r>
        <w:rPr>
          <w:rtl/>
        </w:rPr>
        <w:t>النشاط الثاني: خط عربي ولوحة</w:t>
      </w:r>
    </w:p>
    <w:p w14:paraId="8F925D51">
      <w:pPr>
        <w:pStyle w:val="style4098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b/>
          <w:bCs/>
          <w:rtl/>
        </w:rPr>
        <w:t>إجراءات التنفيذ:</w:t>
      </w:r>
      <w:r>
        <w:rPr>
          <w:rtl/>
        </w:rPr>
        <w:t xml:space="preserve"> إطلاع الطلبة على نماذ</w:t>
      </w:r>
      <w:r>
        <w:rPr>
          <w:rtl/>
        </w:rPr>
        <w:t>ج من الخطوط العربية (الرقعة، النسخ، الكوفي، الثلث)، تقسيم الطلبة لمجموعات لرسم أشكال من الطبيعة (شجرة، حيوان، مصباح) باستخدام كلمات بالخط العربي، تقديم تغذية راجعة ونقد بناء.</w:t>
      </w:r>
    </w:p>
    <w:p w14:paraId="71F4B762">
      <w:pPr>
        <w:pStyle w:val="style4098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bidi/>
        <w:spacing w:after="75"/>
        <w:ind w:right="300"/>
        <w:rPr/>
      </w:pPr>
      <w:r>
        <w:rPr>
          <w:b/>
          <w:bCs/>
          <w:rtl/>
        </w:rPr>
        <w:t>الكفايات المستهدفة:</w:t>
      </w:r>
      <w:r>
        <w:rPr>
          <w:rtl/>
        </w:rPr>
        <w:t xml:space="preserve"> الربط بين الخط والفن التشكيلي، تنمية الثقافة البصرية، </w:t>
      </w:r>
      <w:r>
        <w:rPr>
          <w:rtl/>
        </w:rPr>
        <w:t>الاعتزاز بالتراث العربي.</w:t>
      </w:r>
    </w:p>
    <w:p w14:paraId="72A54EAA">
      <w:pPr>
        <w:pStyle w:val="style3"/>
        <w:bidi/>
        <w:rPr/>
      </w:pPr>
      <w:r>
        <w:rPr>
          <w:rtl/>
        </w:rPr>
        <w:t>النشاط الثالث: التشكيل بالطين - الصلصال</w:t>
      </w:r>
    </w:p>
    <w:p w14:paraId="6E92DDD3">
      <w:pPr>
        <w:pStyle w:val="style4098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b/>
          <w:bCs/>
          <w:rtl/>
        </w:rPr>
        <w:t>إجراءات التنفيذ:</w:t>
      </w:r>
      <w:r>
        <w:rPr>
          <w:rtl/>
        </w:rPr>
        <w:t xml:space="preserve"> توفير عجينة الصلصال بألوان متعددة، تشكيل مجسمات أدوات منزلية أو مظاهر طبيعية، الاعتماد على استراتيجية التعلم بالتجربة والخطأ، تقديم الأعمال وتبادل الآراء والثناء الجماعي.</w:t>
      </w:r>
    </w:p>
    <w:p w14:paraId="B4F96BC3">
      <w:pPr>
        <w:pStyle w:val="style4098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bidi/>
        <w:spacing w:after="75"/>
        <w:ind w:right="300"/>
        <w:rPr/>
      </w:pPr>
      <w:r>
        <w:rPr>
          <w:b/>
          <w:bCs/>
          <w:rtl/>
        </w:rPr>
        <w:t>الك</w:t>
      </w:r>
      <w:r>
        <w:rPr>
          <w:b/>
          <w:bCs/>
          <w:rtl/>
        </w:rPr>
        <w:t>فايات المستهدفة:</w:t>
      </w:r>
      <w:r>
        <w:rPr>
          <w:rtl/>
        </w:rPr>
        <w:t xml:space="preserve"> تنمية العضلات الدقيقة لليد والأصابع، التناسق البصري الحركي، تعزيز الثقة بالنفس والابتكار.</w:t>
      </w:r>
    </w:p>
    <w:p w14:paraId="ADAC6779">
      <w:pPr>
        <w:pStyle w:val="style3"/>
        <w:bidi/>
        <w:rPr/>
      </w:pPr>
      <w:r>
        <w:rPr>
          <w:rtl/>
        </w:rPr>
        <w:t>النشاط الرابع: الألوان والطبيعة</w:t>
      </w:r>
    </w:p>
    <w:p w14:paraId="366C8F62">
      <w:pPr>
        <w:pStyle w:val="style4098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b/>
          <w:bCs/>
          <w:rtl/>
        </w:rPr>
        <w:t>إجراءات التنفيذ:</w:t>
      </w:r>
      <w:r>
        <w:rPr>
          <w:rtl/>
        </w:rPr>
        <w:t xml:space="preserve"> معاينة علب الألوان وتسمية الألوان الأساسية، ربط الألوان بالظواهر الطبيعية (الأزرق للسماء، الأصفر </w:t>
      </w:r>
      <w:r>
        <w:rPr>
          <w:rtl/>
        </w:rPr>
        <w:t>للشمس)، تنفيذ تجارب مزج لونين أو أكثر واستخراج ألوان جديدة ومناقشة نتائج المزج.</w:t>
      </w:r>
    </w:p>
    <w:p w14:paraId="B3FB7AE4">
      <w:pPr>
        <w:pStyle w:val="style4098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bidi/>
        <w:spacing w:after="75"/>
        <w:ind w:right="300"/>
        <w:rPr/>
      </w:pPr>
      <w:r>
        <w:rPr>
          <w:b/>
          <w:bCs/>
          <w:rtl/>
        </w:rPr>
        <w:t>الكفايات المستهدفة:</w:t>
      </w:r>
      <w:r>
        <w:rPr>
          <w:rtl/>
        </w:rPr>
        <w:t xml:space="preserve"> التفكير العلمي الفيزيائي البسيط للألوان، تنمية الحس الجمالي، تعزيز قيم العمل بروح الفريق.</w:t>
      </w:r>
    </w:p>
    <w:p w14:paraId="68FBF5E0">
      <w:pPr>
        <w:pStyle w:val="style3"/>
        <w:bidi/>
        <w:rPr/>
      </w:pPr>
      <w:r>
        <w:rPr>
          <w:rtl/>
        </w:rPr>
        <w:t>النشاط الخامس: أكتشف المواد التالفة والضارة بالبيئة وأعيد تدويرها</w:t>
      </w:r>
    </w:p>
    <w:p w14:paraId="F894B2EB">
      <w:pPr>
        <w:pStyle w:val="style4098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b/>
          <w:bCs/>
          <w:rtl/>
        </w:rPr>
        <w:t>إجراءات التنفيذ:</w:t>
      </w:r>
      <w:r>
        <w:rPr>
          <w:rtl/>
        </w:rPr>
        <w:t xml:space="preserve"> جمع مواد تالفة (بلاستيك، علب معدنية، زجاج)، تنظيفها وتأمينها للاستخدام الآمن، تحويل الزجاجات لقواوير زرع والعلب المعدنية لقناديل إضاءة، تقديم عروض شرح للمشاريع البيئية.</w:t>
      </w:r>
    </w:p>
    <w:p w14:paraId="6A32C37E">
      <w:pPr>
        <w:pStyle w:val="style4098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bidi/>
        <w:spacing w:after="75"/>
        <w:ind w:right="300"/>
        <w:rPr/>
      </w:pPr>
      <w:r>
        <w:rPr>
          <w:b/>
          <w:bCs/>
          <w:rtl/>
        </w:rPr>
        <w:t>الكفايات المستهدفة:</w:t>
      </w:r>
      <w:r>
        <w:rPr>
          <w:rtl/>
        </w:rPr>
        <w:t xml:space="preserve"> ترسيخ الوعي البيئي، تنمية مهارات البحث والتقصي، </w:t>
      </w:r>
      <w:r>
        <w:rPr>
          <w:rtl/>
        </w:rPr>
        <w:t>إنتاج أعمال فنية نفعية صديقة للبيئة.</w:t>
      </w:r>
    </w:p>
    <w:p w14:paraId="31035898">
      <w:pPr>
        <w:pStyle w:val="style3"/>
        <w:bidi/>
        <w:rPr/>
      </w:pPr>
      <w:r>
        <w:rPr>
          <w:rtl/>
        </w:rPr>
        <w:t>النشاط السادس: أصمم الأشكال بطريقة مبدعة</w:t>
      </w:r>
    </w:p>
    <w:p w14:paraId="2787A41A">
      <w:pPr>
        <w:pStyle w:val="style4098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b/>
          <w:bCs/>
          <w:rtl/>
        </w:rPr>
        <w:t>إجراءات التنفيذ:</w:t>
      </w:r>
      <w:r>
        <w:rPr>
          <w:rtl/>
        </w:rPr>
        <w:t xml:space="preserve"> عرض مجسمات ورسومات هندسية وتصميمية، الشرح عن مجالات التصميم (الجرافيكي، الداخلي، الصناعي)، تصميم أشكال وهياكل مباني أو قطع أثاث صغيرة باستخدام الأدوات المتاحة، و</w:t>
      </w:r>
      <w:r>
        <w:rPr>
          <w:rtl/>
        </w:rPr>
        <w:t>تقويم الأعمال بناء على معايير الدقة والجمالية.</w:t>
      </w:r>
    </w:p>
    <w:p w14:paraId="49EDE97B">
      <w:pPr>
        <w:pStyle w:val="style4098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bidi/>
        <w:spacing w:after="75"/>
        <w:ind w:right="300"/>
        <w:rPr/>
      </w:pPr>
      <w:r>
        <w:rPr>
          <w:b/>
          <w:bCs/>
          <w:rtl/>
        </w:rPr>
        <w:t>الكفايات المستهدفة:</w:t>
      </w:r>
      <w:r>
        <w:rPr>
          <w:rtl/>
        </w:rPr>
        <w:t xml:space="preserve"> التفكير الاستراتيجي وإدارة الوقت، تقبل النقد البناء، تنمية قدرات التصميم المبتكر.</w:t>
      </w:r>
    </w:p>
    <w:p w14:paraId="D7D1B121">
      <w:pPr>
        <w:pStyle w:val="style3"/>
        <w:bidi/>
        <w:rPr/>
      </w:pPr>
      <w:r>
        <w:rPr>
          <w:rtl/>
        </w:rPr>
        <w:t>النشاط السابع: الفن المرئي: أبصر، أتذوق، أعبر</w:t>
      </w:r>
    </w:p>
    <w:p w14:paraId="24D0F405">
      <w:pPr>
        <w:pStyle w:val="style4098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b/>
          <w:bCs/>
          <w:rtl/>
        </w:rPr>
        <w:t>إجراءات التنفيذ:</w:t>
      </w:r>
      <w:r>
        <w:rPr>
          <w:rtl/>
        </w:rPr>
        <w:t xml:space="preserve"> استعراض وسائط فنية مرئية (صور فوتوغرافية، </w:t>
      </w:r>
      <w:r>
        <w:rPr>
          <w:rtl/>
        </w:rPr>
        <w:t>سيراميك، مجسمات، فيديوهات قصيرة)، تقسيم الطلبة لمجموعات لتأمل الأعمال وتدوين الملاحظات والرسائل الضمنية للعمل الفني، تدوير الأعمال بين المجموعات لمقارنة التحليلات.</w:t>
      </w:r>
    </w:p>
    <w:p w14:paraId="E806A2D8">
      <w:pPr>
        <w:pStyle w:val="style4098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bidi/>
        <w:spacing w:after="75"/>
        <w:ind w:right="300"/>
        <w:rPr/>
      </w:pPr>
      <w:r>
        <w:rPr>
          <w:b/>
          <w:bCs/>
          <w:rtl/>
        </w:rPr>
        <w:t>الكفايات المستهدفة:</w:t>
      </w:r>
      <w:r>
        <w:rPr>
          <w:rtl/>
        </w:rPr>
        <w:t xml:space="preserve"> التناغم بين الحاسة البصرية والإدراك الذهني، الانفتاح على الثقافات العالم</w:t>
      </w:r>
      <w:r>
        <w:rPr>
          <w:rtl/>
        </w:rPr>
        <w:t>ية، مواكبة التطور الفني العصراني.</w:t>
      </w:r>
    </w:p>
    <w:p w14:paraId="8FD0DC8F">
      <w:pPr>
        <w:pStyle w:val="style2"/>
        <w:bidi/>
        <w:rPr/>
      </w:pPr>
      <w:r>
        <w:rPr>
          <w:rtl/>
        </w:rPr>
        <w:t>رابعاً: استراتيجيات أدوات التقويم وضمان الجودة والاستدامة</w:t>
      </w:r>
    </w:p>
    <w:p w14:paraId="8AA512EC">
      <w:pPr>
        <w:pStyle w:val="style3"/>
        <w:bidi/>
        <w:spacing w:before="0"/>
        <w:rPr/>
      </w:pPr>
      <w:r>
        <w:rPr/>
        <w:pict>
          <v:rect id="1029" fillcolor="#a0a0a0" stroked="f" style="margin-left:0.0pt;margin-top:0.0pt;width:0.0pt;height:1.5pt;mso-wrap-distance-left:0.0pt;mso-wrap-distance-right:0.0pt;visibility:visible;" o:hr="t" o:hralign="right" o:hrstd="t">
            <v:stroke on="f"/>
            <v:fill/>
          </v:rect>
        </w:pict>
      </w:r>
      <w:r>
        <w:rPr>
          <w:rtl/>
        </w:rPr>
        <w:t>1. استراتيجيات التقويم المستخدمة:</w:t>
      </w:r>
    </w:p>
    <w:p w14:paraId="35A5AB71">
      <w:pPr>
        <w:pStyle w:val="style4098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b/>
          <w:bCs/>
          <w:rtl/>
        </w:rPr>
        <w:t>التقويم المعتمد على الأداء:</w:t>
      </w:r>
      <w:r>
        <w:rPr>
          <w:rtl/>
        </w:rPr>
        <w:t xml:space="preserve"> العروض التوضيحية، الأداء العملي، المحاكاة ولعب الأدوار، المعارض المدرسية.</w:t>
      </w:r>
    </w:p>
    <w:p w14:paraId="7097CE1F">
      <w:pPr>
        <w:pStyle w:val="style4098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b/>
          <w:bCs/>
          <w:rtl/>
        </w:rPr>
        <w:t>التقويم بالتواصل:</w:t>
      </w:r>
      <w:r>
        <w:rPr>
          <w:rtl/>
        </w:rPr>
        <w:t xml:space="preserve"> المقابلات</w:t>
      </w:r>
      <w:r>
        <w:rPr>
          <w:rtl/>
        </w:rPr>
        <w:t xml:space="preserve"> الشخصية الفنية، الأسئلة والأجوبة المباشرة، تقويم الأقران.</w:t>
      </w:r>
    </w:p>
    <w:p w14:paraId="7173EF59">
      <w:pPr>
        <w:pStyle w:val="style4098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b/>
          <w:bCs/>
          <w:rtl/>
        </w:rPr>
        <w:t>التقويم بالملاحظة:</w:t>
      </w:r>
      <w:r>
        <w:rPr>
          <w:rtl/>
        </w:rPr>
        <w:t xml:space="preserve"> المراقبة المستمرة لسلوك الطلبة وتفاعلاتهم الحركية والبصرية والاجتماعية.</w:t>
      </w:r>
    </w:p>
    <w:p w14:paraId="DD2DFBE8">
      <w:pPr>
        <w:pStyle w:val="style4098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bidi/>
        <w:spacing w:after="75"/>
        <w:ind w:right="300"/>
        <w:rPr/>
      </w:pPr>
      <w:r>
        <w:rPr>
          <w:b/>
          <w:bCs/>
          <w:rtl/>
        </w:rPr>
        <w:t>التقويم بمراجعة الذات:</w:t>
      </w:r>
      <w:r>
        <w:rPr>
          <w:rtl/>
        </w:rPr>
        <w:t xml:space="preserve"> مذكرات الطلبة، ملف إنجاز الطالب (</w:t>
      </w:r>
      <w:r>
        <w:t>Portfolio</w:t>
      </w:r>
      <w:r>
        <w:rPr>
          <w:rtl/>
        </w:rPr>
        <w:t>)، وقوائم الشطب والتقدير الذاتي.</w:t>
      </w:r>
    </w:p>
    <w:p w14:paraId="2A960A44">
      <w:pPr>
        <w:pStyle w:val="style3"/>
        <w:bidi/>
        <w:rPr/>
      </w:pPr>
      <w:r>
        <w:rPr>
          <w:rtl/>
        </w:rPr>
        <w:t>2. أدوات</w:t>
      </w:r>
      <w:r>
        <w:rPr>
          <w:rtl/>
        </w:rPr>
        <w:t xml:space="preserve"> التقويم:</w:t>
      </w:r>
    </w:p>
    <w:p w14:paraId="BD32A050">
      <w:pPr>
        <w:pStyle w:val="style4098"/>
        <w:numPr>
          <w:ilvl w:val="0"/>
          <w:numId w:val="10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rtl/>
        </w:rPr>
        <w:t>قوائم الرصد وقوائم الشطب.</w:t>
      </w:r>
    </w:p>
    <w:p w14:paraId="C1BF155C">
      <w:pPr>
        <w:pStyle w:val="style4098"/>
        <w:numPr>
          <w:ilvl w:val="0"/>
          <w:numId w:val="10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rtl/>
        </w:rPr>
        <w:t>سلالم التقدير اللفظية والعدددية.</w:t>
      </w:r>
    </w:p>
    <w:p w14:paraId="9F6FB14C">
      <w:pPr>
        <w:pStyle w:val="style4098"/>
        <w:numPr>
          <w:ilvl w:val="0"/>
          <w:numId w:val="10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rtl/>
        </w:rPr>
        <w:t>سجل وصف سير تعلم الطالب (سجل الطالب).</w:t>
      </w:r>
    </w:p>
    <w:p w14:paraId="644F6E58">
      <w:pPr>
        <w:pStyle w:val="style4098"/>
        <w:numPr>
          <w:ilvl w:val="0"/>
          <w:numId w:val="10"/>
        </w:numPr>
        <w:pBdr>
          <w:left w:val="nil"/>
          <w:right w:val="nil"/>
          <w:top w:val="nil"/>
          <w:bottom w:val="nil"/>
          <w:between w:val="nil"/>
        </w:pBdr>
        <w:bidi/>
        <w:spacing w:after="75"/>
        <w:ind w:right="300"/>
        <w:rPr/>
      </w:pPr>
      <w:r>
        <w:rPr>
          <w:rtl/>
        </w:rPr>
        <w:t>السجل القصصي (سجل المعلم).</w:t>
      </w:r>
    </w:p>
    <w:p w14:paraId="0C6E80B0">
      <w:pPr>
        <w:pStyle w:val="style3"/>
        <w:bidi/>
        <w:rPr/>
      </w:pPr>
      <w:r>
        <w:rPr>
          <w:rtl/>
        </w:rPr>
        <w:t>3. آليات ضمان الجودة والاستدامة:</w:t>
      </w:r>
    </w:p>
    <w:p w14:paraId="DA051B9D">
      <w:pPr>
        <w:pStyle w:val="style4098"/>
        <w:numPr>
          <w:ilvl w:val="0"/>
          <w:numId w:val="11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rtl/>
        </w:rPr>
        <w:t xml:space="preserve">إقامة </w:t>
      </w:r>
      <w:r>
        <w:rPr>
          <w:b/>
          <w:bCs/>
          <w:rtl/>
        </w:rPr>
        <w:t>معرض الفنون المدرسي السنوي</w:t>
      </w:r>
      <w:r>
        <w:rPr>
          <w:rtl/>
        </w:rPr>
        <w:t xml:space="preserve"> لعرض كافة منتجات الأنشطة.</w:t>
      </w:r>
    </w:p>
    <w:p w14:paraId="9E050276">
      <w:pPr>
        <w:pStyle w:val="style4098"/>
        <w:numPr>
          <w:ilvl w:val="0"/>
          <w:numId w:val="11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rtl/>
        </w:rPr>
        <w:t xml:space="preserve">إطلاق مسابقات تنافسية (مثل: </w:t>
      </w:r>
      <w:r>
        <w:rPr>
          <w:rtl/>
        </w:rPr>
        <w:t>مسابقة الخطاط المدرسي، جائزة أفضل عمل تدويري، مسابقة البورتريه الصحفي).</w:t>
      </w:r>
    </w:p>
    <w:p w14:paraId="8AAED9A9">
      <w:pPr>
        <w:pStyle w:val="style4098"/>
        <w:numPr>
          <w:ilvl w:val="0"/>
          <w:numId w:val="11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rtl/>
        </w:rPr>
        <w:t>استضافة فنانين تشكيليين وخطاطين ومصممي جرافيك محليين لنقل الخبرات الميدانية للطلبة.</w:t>
      </w:r>
    </w:p>
    <w:p w14:paraId="FB8862B9">
      <w:pPr>
        <w:pStyle w:val="style4098"/>
        <w:numPr>
          <w:ilvl w:val="0"/>
          <w:numId w:val="11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rtl/>
        </w:rPr>
        <w:t>تنظيم زيارات ميدانية واستكشافية للمتاحف الفنية، والمعارض التشغيلية، ومجمع اللغة العربية.</w:t>
      </w:r>
    </w:p>
    <w:p w14:paraId="EE909547">
      <w:pPr>
        <w:pStyle w:val="style4098"/>
        <w:numPr>
          <w:ilvl w:val="0"/>
          <w:numId w:val="11"/>
        </w:numPr>
        <w:pBdr>
          <w:left w:val="nil"/>
          <w:right w:val="nil"/>
          <w:top w:val="nil"/>
          <w:bottom w:val="nil"/>
          <w:between w:val="nil"/>
        </w:pBdr>
        <w:bidi/>
        <w:spacing w:after="75"/>
        <w:ind w:right="300"/>
        <w:rPr>
          <w:rFonts w:hint="cs"/>
        </w:rPr>
      </w:pPr>
      <w:r>
        <w:rPr>
          <w:rtl/>
        </w:rPr>
        <w:t xml:space="preserve">تطبيق مبدأ </w:t>
      </w:r>
      <w:r>
        <w:rPr>
          <w:rtl/>
        </w:rPr>
        <w:t>الدعم والتكييف الدائم لمشاركة الطلبة من ذوي الإعاقات المخلتفة لضمان الشمولية الكاملة.</w:t>
      </w:r>
    </w:p>
    <w:p w14:paraId="96B2A294">
      <w:pPr>
        <w:pStyle w:val="style0"/>
        <w:bidi/>
        <w:jc w:val="center"/>
        <w:rPr>
          <w:rFonts w:ascii="Microsoft Sans Serif" w:cs="Microsoft Sans Serif" w:eastAsia="Times New Roman" w:hAnsi="Microsoft Sans Serif"/>
          <w:b/>
          <w:bCs/>
          <w:sz w:val="36"/>
          <w:szCs w:val="36"/>
          <w:lang w:bidi="ar-JO"/>
        </w:rPr>
      </w:pPr>
      <w:r>
        <w:rPr>
          <w:rFonts w:ascii="Microsoft Sans Serif" w:cs="Microsoft Sans Serif" w:eastAsia="Times New Roman" w:hAnsi="Microsoft Sans Serif"/>
          <w:b/>
          <w:bCs/>
          <w:noProof/>
          <w:sz w:val="36"/>
          <w:szCs w:val="36"/>
        </w:rPr>
        <w:drawing>
          <wp:inline distL="0" distT="0" distB="0" distR="0">
            <wp:extent cx="1023620" cy="1003300"/>
            <wp:effectExtent l="19050" t="0" r="5080" b="0"/>
            <wp:docPr id="1030" name="صورة 1" descr="c092fb2419d12c1038bb88a0827ff1a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23620" cy="10033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C6A38B85">
      <w:pPr>
        <w:pStyle w:val="style0"/>
        <w:bidi/>
        <w:jc w:val="center"/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  <w:t xml:space="preserve">بسم الله الرحمن الرحيم </w:t>
      </w:r>
    </w:p>
    <w:p w14:paraId="0ED2E811">
      <w:pPr>
        <w:pStyle w:val="style0"/>
        <w:bidi/>
        <w:jc w:val="center"/>
        <w:rPr>
          <w:rFonts w:ascii="Times New Roman" w:cs="Times New Roman" w:eastAsia="Times New Roman" w:hAnsi="Times New Roman"/>
          <w:b/>
          <w:bCs/>
          <w:color w:val="ff0000"/>
          <w:sz w:val="40"/>
          <w:szCs w:val="40"/>
          <w:u w:val="single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color w:val="ff0000"/>
          <w:sz w:val="40"/>
          <w:szCs w:val="40"/>
          <w:u w:val="single"/>
          <w:rtl/>
          <w:lang w:bidi="ar-JO"/>
        </w:rPr>
        <w:t xml:space="preserve">لطفا الرجاء الانتباه </w:t>
      </w:r>
    </w:p>
    <w:p w14:paraId="56ECCDD5">
      <w:pPr>
        <w:pStyle w:val="style0"/>
        <w:bidi/>
        <w:jc w:val="center"/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</w:pPr>
    </w:p>
    <w:p w14:paraId="4EAB53AD">
      <w:pPr>
        <w:pStyle w:val="style0"/>
        <w:bidi/>
        <w:jc w:val="center"/>
        <w:rPr>
          <w:rFonts w:ascii="Times New Roman" w:cs="Times New Roman" w:eastAsia="Times New Roman" w:hAnsi="Times New Roman"/>
          <w:b/>
          <w:bCs/>
          <w:sz w:val="40"/>
          <w:szCs w:val="40"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  <w:t xml:space="preserve">هذا العمل حصري لدى موقع الايمان التعليمي </w:t>
      </w:r>
    </w:p>
    <w:p w14:paraId="B8CCB893">
      <w:pPr>
        <w:pStyle w:val="style0"/>
        <w:bidi/>
        <w:jc w:val="center"/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40"/>
          <w:szCs w:val="40"/>
          <w:lang w:bidi="ar-JO"/>
        </w:rPr>
        <w:t>(</w:t>
      </w:r>
      <w:r>
        <w:rPr>
          <w:rFonts w:ascii="Times New Roman" w:cs="Times New Roman" w:eastAsia="Times New Roman" w:hAnsi="Times New Roman"/>
          <w:b/>
          <w:bCs/>
          <w:color w:val="0000ff"/>
          <w:sz w:val="40"/>
          <w:szCs w:val="40"/>
          <w:lang w:bidi="ar-JO"/>
        </w:rPr>
        <w:t>www.</w:t>
      </w:r>
      <w:r>
        <w:rPr>
          <w:rFonts w:ascii="Times New Roman" w:cs="Times New Roman" w:eastAsia="Times New Roman" w:hAnsi="Times New Roman"/>
          <w:color w:val="0000ff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0000ff"/>
          <w:sz w:val="40"/>
          <w:szCs w:val="40"/>
          <w:lang w:bidi="ar-JO"/>
        </w:rPr>
        <w:t>imanjo.com</w:t>
      </w:r>
      <w:r>
        <w:rPr>
          <w:rFonts w:ascii="Times New Roman" w:cs="Times New Roman" w:eastAsia="Times New Roman" w:hAnsi="Times New Roman"/>
          <w:b/>
          <w:bCs/>
          <w:sz w:val="40"/>
          <w:szCs w:val="40"/>
          <w:lang w:bidi="ar-JO"/>
        </w:rPr>
        <w:t xml:space="preserve">) </w:t>
      </w:r>
    </w:p>
    <w:p w14:paraId="3BFE5271">
      <w:pPr>
        <w:pStyle w:val="style0"/>
        <w:bidi/>
        <w:jc w:val="center"/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</w:pPr>
    </w:p>
    <w:p w14:paraId="87AF50F9">
      <w:pPr>
        <w:pStyle w:val="style0"/>
        <w:bidi/>
        <w:jc w:val="center"/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  <w:t xml:space="preserve">وهو متاح لجميع الاعضاء والزوار بنسخته المجانية ويمنع النقل من قبل اي موقع تعليمي اخر وتحت طائلة المسؤولية. </w:t>
      </w:r>
    </w:p>
    <w:p w14:paraId="D2645B87">
      <w:pPr>
        <w:pStyle w:val="style0"/>
        <w:bidi/>
        <w:rPr>
          <w:rFonts w:ascii="Times New Roman" w:cs="Times New Roman" w:eastAsia="Times New Roman" w:hAnsi="Times New Roman"/>
          <w:b/>
          <w:bCs/>
          <w:sz w:val="40"/>
          <w:szCs w:val="40"/>
          <w:lang w:bidi="ar-JO"/>
        </w:rPr>
      </w:pPr>
    </w:p>
    <w:p w14:paraId="860BAC31">
      <w:pPr>
        <w:pStyle w:val="style0"/>
        <w:bidi/>
        <w:jc w:val="center"/>
        <w:rPr>
          <w:rFonts w:ascii="Microsoft Sans Serif" w:cs="Microsoft Sans Serif" w:eastAsia="Times New Roman" w:hAnsi="Microsoft Sans Serif"/>
          <w:b/>
          <w:bCs/>
          <w:sz w:val="32"/>
          <w:szCs w:val="32"/>
          <w:rtl/>
          <w:lang w:bidi="ar-JO"/>
        </w:rPr>
      </w:pPr>
    </w:p>
    <w:p w14:paraId="153A65B5">
      <w:pPr>
        <w:pStyle w:val="style0"/>
        <w:pBdr>
          <w:left w:val="double" w:sz="4" w:space="4" w:color="auto"/>
          <w:right w:val="double" w:sz="4" w:space="4" w:color="auto"/>
          <w:top w:val="double" w:sz="4" w:space="1" w:color="auto"/>
          <w:bottom w:val="double" w:sz="4" w:space="1" w:color="auto"/>
        </w:pBdr>
        <w:shd w:val="clear" w:color="auto" w:fill="eaf1dd"/>
        <w:bidi/>
        <w:jc w:val="center"/>
        <w:rPr>
          <w:rFonts w:ascii="Times New Roman" w:cs="Times New Roman" w:eastAsia="Times New Roman" w:hAnsi="Times New Roman"/>
          <w:b/>
          <w:bCs/>
          <w:sz w:val="44"/>
          <w:szCs w:val="44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44"/>
          <w:szCs w:val="44"/>
          <w:rtl/>
          <w:lang w:bidi="ar-JO"/>
        </w:rPr>
        <w:t xml:space="preserve">اعداد فريق موقع الايمان </w:t>
      </w:r>
    </w:p>
    <w:p w14:paraId="E34BBCF3">
      <w:pPr>
        <w:pStyle w:val="style0"/>
        <w:bidi/>
        <w:jc w:val="center"/>
        <w:rPr>
          <w:rFonts w:ascii="Microsoft Sans Serif" w:cs="Microsoft Sans Serif" w:hAnsi="Microsoft Sans Serif"/>
          <w:b/>
          <w:bCs/>
          <w:sz w:val="28"/>
          <w:szCs w:val="28"/>
          <w:rtl/>
          <w:lang w:bidi="ar-JO"/>
        </w:rPr>
      </w:pPr>
    </w:p>
    <w:p w14:paraId="6627DCCC">
      <w:pPr>
        <w:pStyle w:val="style0"/>
        <w:bidi/>
        <w:jc w:val="center"/>
        <w:rPr>
          <w:rFonts w:ascii="Microsoft Sans Serif" w:cs="Microsoft Sans Serif" w:hAnsi="Microsoft Sans Serif"/>
          <w:b/>
          <w:bCs/>
          <w:sz w:val="28"/>
          <w:szCs w:val="28"/>
          <w:rtl/>
          <w:lang w:bidi="ar-JO"/>
        </w:rPr>
      </w:pPr>
    </w:p>
    <w:p w14:paraId="234F6076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75"/>
        <w:ind w:right="300"/>
        <w:rPr/>
      </w:pPr>
    </w:p>
    <w:sectPr>
      <w:footerReference w:type="default" r:id="rId3"/>
      <w:pgSz w:w="12240" w:h="15840" w:orient="portrait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004020303"/>
    <w:charset w:val="00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002020204"/>
    <w:charset w:val="00"/>
    <w:family w:val="swiss"/>
    <w:pitch w:val="variable"/>
    <w:sig w:usb0="E5002EFF" w:usb1="C000605B" w:usb2="00000029" w:usb3="00000000" w:csb0="0001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2973AC39">
    <w:pPr>
      <w:pStyle w:val="style32"/>
      <w:rPr>
        <w:rFonts w:hint="cs"/>
        <w:color w:val="ff0000"/>
        <w:lang w:bidi="ar-JO"/>
      </w:rPr>
    </w:pPr>
    <w:r>
      <w:rPr>
        <w:rFonts w:hint="cs"/>
        <w:color w:val="ff0000"/>
        <w:rtl/>
        <w:lang w:bidi="ar-JO"/>
      </w:rPr>
      <w:t xml:space="preserve">موقع الايمان التعليمي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0CC660D8"/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0000001"/>
    <w:multiLevelType w:val="multilevel"/>
    <w:tmpl w:val="4028D456"/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0000002"/>
    <w:multiLevelType w:val="multilevel"/>
    <w:tmpl w:val="FA02A296"/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0000003"/>
    <w:multiLevelType w:val="multilevel"/>
    <w:tmpl w:val="C728EA9E"/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0000004"/>
    <w:multiLevelType w:val="multilevel"/>
    <w:tmpl w:val="9F8420E6"/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0000005"/>
    <w:multiLevelType w:val="multilevel"/>
    <w:tmpl w:val="610A4A58"/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00000006"/>
    <w:multiLevelType w:val="multilevel"/>
    <w:tmpl w:val="CFB4A4E0"/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00000007"/>
    <w:multiLevelType w:val="multilevel"/>
    <w:tmpl w:val="41C21EBE"/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00000008"/>
    <w:multiLevelType w:val="multilevel"/>
    <w:tmpl w:val="5B6A7FA0"/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00000009"/>
    <w:multiLevelType w:val="multilevel"/>
    <w:tmpl w:val="AE64D4DC"/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0000000A"/>
    <w:multiLevelType w:val="multilevel"/>
    <w:tmpl w:val="517C7CEA"/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0"/>
  </w:num>
  <w:num w:numId="7">
    <w:abstractNumId w:val="6"/>
  </w:num>
  <w:num w:numId="8">
    <w:abstractNumId w:val="7"/>
  </w:num>
  <w:num w:numId="9">
    <w:abstractNumId w:val="8"/>
  </w:num>
  <w:num w:numId="10">
    <w:abstractNumId w:val="3"/>
  </w:num>
  <w:num w:numId="11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40"/>
  <w:embedTrueType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rial" w:cs="Arial" w:eastAsia="Arial" w:hAnsi="Arial"/>
        <w:sz w:val="22"/>
        <w:szCs w:val="22"/>
        <w:lang w:val="en-US" w:bidi="ar-SA" w:eastAsia="en-US"/>
      </w:rPr>
    </w:rPrDefault>
    <w:pPrDefault>
      <w:pPr>
        <w:widowControl w:val="false"/>
        <w:spacing w:lineRule="auto" w:line="300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4098"/>
    <w:next w:val="style4098"/>
    <w:pPr>
      <w:pBdr>
        <w:left w:val="nil"/>
        <w:right w:val="nil"/>
        <w:top w:val="nil"/>
        <w:bottom w:val="nil"/>
        <w:between w:val="nil"/>
      </w:pBdr>
      <w:spacing w:before="240" w:after="150"/>
      <w:jc w:val="center"/>
      <w:outlineLvl w:val="0"/>
    </w:pPr>
    <w:rPr>
      <w:b/>
      <w:bCs/>
      <w:color w:val="1a365d"/>
      <w:sz w:val="48"/>
      <w:szCs w:val="48"/>
    </w:rPr>
  </w:style>
  <w:style w:type="paragraph" w:styleId="style2">
    <w:name w:val="heading 2"/>
    <w:basedOn w:val="style4098"/>
    <w:next w:val="style4098"/>
    <w:pPr>
      <w:pBdr>
        <w:left w:val="nil"/>
        <w:right w:val="nil"/>
        <w:top w:val="nil"/>
        <w:bottom w:val="nil"/>
        <w:between w:val="nil"/>
      </w:pBdr>
      <w:spacing w:before="375" w:after="300"/>
      <w:outlineLvl w:val="1"/>
    </w:pPr>
    <w:rPr>
      <w:b/>
      <w:bCs/>
      <w:color w:val="2c5282"/>
      <w:sz w:val="36"/>
      <w:szCs w:val="36"/>
    </w:rPr>
  </w:style>
  <w:style w:type="paragraph" w:styleId="style3">
    <w:name w:val="heading 3"/>
    <w:basedOn w:val="style4098"/>
    <w:next w:val="style4098"/>
    <w:pPr>
      <w:pBdr>
        <w:left w:val="nil"/>
        <w:right w:val="nil"/>
        <w:top w:val="nil"/>
        <w:bottom w:val="nil"/>
        <w:between w:val="nil"/>
      </w:pBdr>
      <w:spacing w:before="225" w:after="150"/>
      <w:outlineLvl w:val="2"/>
    </w:pPr>
    <w:rPr>
      <w:b/>
      <w:bCs/>
      <w:color w:val="2b6cb0"/>
      <w:sz w:val="28"/>
      <w:szCs w:val="28"/>
    </w:rPr>
  </w:style>
  <w:style w:type="paragraph" w:styleId="style4">
    <w:name w:val="heading 4"/>
    <w:basedOn w:val="style4098"/>
    <w:next w:val="style4098"/>
    <w:pPr>
      <w:pBdr>
        <w:left w:val="nil"/>
        <w:right w:val="nil"/>
        <w:top w:val="nil"/>
        <w:bottom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style5">
    <w:name w:val="heading 5"/>
    <w:basedOn w:val="style4098"/>
    <w:next w:val="style4098"/>
    <w:pPr>
      <w:pBdr>
        <w:left w:val="nil"/>
        <w:right w:val="nil"/>
        <w:top w:val="nil"/>
        <w:bottom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style6">
    <w:name w:val="heading 6"/>
    <w:basedOn w:val="style4098"/>
    <w:next w:val="style4098"/>
    <w:pPr>
      <w:pBdr>
        <w:left w:val="nil"/>
        <w:right w:val="nil"/>
        <w:top w:val="nil"/>
        <w:bottom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Normal"/>
    <w:next w:val="style4097"/>
    <w:pPr/>
    <w:rPr/>
    <w:tblPr>
      <w:tblCellMar>
        <w:top w:w="100" w:type="dxa"/>
        <w:left w:w="100" w:type="dxa"/>
        <w:bottom w:w="100" w:type="dxa"/>
        <w:right w:w="100" w:type="dxa"/>
      </w:tblCellMar>
    </w:tblPr>
    <w:tcPr>
      <w:tcBorders/>
    </w:tcPr>
  </w:style>
  <w:style w:type="paragraph" w:customStyle="1" w:styleId="style4098">
    <w:name w:val="normal"/>
    <w:next w:val="style4098"/>
    <w:pPr/>
  </w:style>
  <w:style w:type="paragraph" w:styleId="style62">
    <w:name w:val="Title"/>
    <w:basedOn w:val="style4098"/>
    <w:next w:val="style4098"/>
    <w:pPr>
      <w:keepNext/>
      <w:keepLines/>
      <w:spacing w:before="480" w:after="120"/>
    </w:pPr>
    <w:rPr>
      <w:b/>
      <w:bCs/>
      <w:sz w:val="72"/>
      <w:szCs w:val="72"/>
    </w:rPr>
  </w:style>
  <w:style w:type="paragraph" w:styleId="style74">
    <w:name w:val="Subtitle"/>
    <w:basedOn w:val="style4098"/>
    <w:next w:val="style4098"/>
    <w:pPr>
      <w:keepNext/>
      <w:keepLines/>
      <w:spacing w:before="360" w:after="80"/>
    </w:pPr>
    <w:rPr>
      <w:rFonts w:ascii="Georgia" w:cs="Georgia" w:eastAsia="Georgia" w:hAnsi="Georgia"/>
      <w:i/>
      <w:iCs/>
      <w:color w:val="666666"/>
      <w:sz w:val="48"/>
      <w:szCs w:val="48"/>
    </w:rPr>
  </w:style>
  <w:style w:type="table" w:customStyle="1" w:styleId="style4099">
    <w:basedOn w:val="style4097"/>
    <w:next w:val="style4099"/>
    <w:pPr/>
    <w:rPr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100"/>
    <w:uiPriority w:val="99"/>
    <w:pPr>
      <w:spacing w:lineRule="auto" w:line="240"/>
    </w:pPr>
    <w:rPr>
      <w:rFonts w:ascii="Tahoma" w:cs="Tahoma" w:hAnsi="Tahoma"/>
      <w:sz w:val="16"/>
      <w:szCs w:val="16"/>
    </w:rPr>
  </w:style>
  <w:style w:type="character" w:customStyle="1" w:styleId="style4100">
    <w:name w:val="نص في بالون Char"/>
    <w:basedOn w:val="style65"/>
    <w:next w:val="style4100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101"/>
    <w:uiPriority w:val="99"/>
    <w:pPr>
      <w:tabs>
        <w:tab w:val="center" w:leader="none" w:pos="4680"/>
        <w:tab w:val="right" w:leader="none" w:pos="9360"/>
      </w:tabs>
      <w:spacing w:lineRule="auto" w:line="240"/>
    </w:pPr>
    <w:rPr/>
  </w:style>
  <w:style w:type="character" w:customStyle="1" w:styleId="style4101">
    <w:name w:val="رأس صفحة Char"/>
    <w:basedOn w:val="style65"/>
    <w:next w:val="style4101"/>
    <w:link w:val="style31"/>
    <w:uiPriority w:val="99"/>
  </w:style>
  <w:style w:type="paragraph" w:styleId="style32">
    <w:name w:val="footer"/>
    <w:basedOn w:val="style0"/>
    <w:next w:val="style32"/>
    <w:link w:val="style4102"/>
    <w:uiPriority w:val="99"/>
    <w:pPr>
      <w:tabs>
        <w:tab w:val="center" w:leader="none" w:pos="4680"/>
        <w:tab w:val="right" w:leader="none" w:pos="9360"/>
      </w:tabs>
      <w:spacing w:lineRule="auto" w:line="240"/>
    </w:pPr>
    <w:rPr/>
  </w:style>
  <w:style w:type="character" w:customStyle="1" w:styleId="style4102">
    <w:name w:val="تذييل صفحة Char"/>
    <w:basedOn w:val="style65"/>
    <w:next w:val="style4102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Words>944</Words>
  <Pages>1</Pages>
  <Characters>5733</Characters>
  <Application>WPS Office</Application>
  <DocSecurity>0</DocSecurity>
  <Paragraphs>127</Paragraphs>
  <ScaleCrop>false</ScaleCrop>
  <LinksUpToDate>false</LinksUpToDate>
  <CharactersWithSpaces>6578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٢٠٢٦-٠٨-٣١T٠٣:٥٣:٠٠Z</dcterms:created>
  <dc:creator>WPS Office</dc:creator>
  <lastModifiedBy>SM-S928B</lastModifiedBy>
  <dcterms:modified xsi:type="dcterms:W3CDTF">٢٠٢٦-٠٨-٣١T١٥:٥٨:٤٩Z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1318d34295684b03ad93b1ff6cb954a7_23</vt:lpwstr>
  </property>
</Properties>
</file>