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tbl>
      <w:tblPr>
        <w:tblStyle w:val="style154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3672"/>
        <w:gridCol w:w="3672"/>
        <w:gridCol w:w="3672"/>
      </w:tblGrid>
      <w:tr w14:paraId="39878173">
        <w:trPr>
          <w:jc w:val="center"/>
        </w:trPr>
        <w:tc>
          <w:tcPr>
            <w:tcW w:w="11016" w:type="dxa"/>
            <w:gridSpan w:val="3"/>
            <w:tcBorders/>
            <w:vAlign w:val="center"/>
          </w:tcPr>
          <w:p w14:paraId="6A8943FB">
            <w:pPr>
              <w:pStyle w:val="style0"/>
              <w:bidi/>
              <w:ind w:left="15"/>
              <w:jc w:val="center"/>
              <w:rPr>
                <w:rFonts w:cs="Arial"/>
                <w:b/>
                <w:bCs/>
                <w:sz w:val="24"/>
                <w:szCs w:val="24"/>
                <w:rtl/>
              </w:rPr>
            </w:pPr>
            <w:r>
              <w:rPr>
                <w:rFonts w:cs="Arial"/>
                <w:b/>
                <w:bCs/>
                <w:noProof/>
                <w:sz w:val="24"/>
                <w:szCs w:val="24"/>
                <w:rtl/>
              </w:rPr>
              <w:drawing>
                <wp:inline distL="0" distT="0" distB="0" distR="0">
                  <wp:extent cx="933924" cy="914400"/>
                  <wp:effectExtent l="0" t="0" r="0" b="0"/>
                  <wp:docPr id="1026" name="Picture 1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/>
                        </pic:nvPicPr>
                        <pic:blipFill>
                          <a:blip r:embed="rId2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933924" cy="914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 w14:paraId="44757287">
            <w:pPr>
              <w:pStyle w:val="style0"/>
              <w:bidi/>
              <w:ind w:left="15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cs="Arial" w:hint="cs"/>
                <w:b/>
                <w:bCs/>
                <w:sz w:val="24"/>
                <w:szCs w:val="24"/>
                <w:rtl/>
              </w:rPr>
              <w:t>و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>زارة التربية والتعليم وتنمية الموارد البشرية</w:t>
            </w:r>
          </w:p>
          <w:p w14:paraId="68B77597">
            <w:pPr>
              <w:pStyle w:val="style0"/>
              <w:bidi/>
              <w:ind w:left="15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مديرية التربية والتعليم للواء </w:t>
            </w:r>
          </w:p>
          <w:p w14:paraId="612705CF">
            <w:pPr>
              <w:pStyle w:val="style0"/>
              <w:bidi/>
              <w:ind w:left="15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مدرسة </w:t>
            </w:r>
          </w:p>
          <w:p w14:paraId="3116BBE1">
            <w:pPr>
              <w:pStyle w:val="style0"/>
              <w:bidi/>
              <w:ind w:left="15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امتحان منتصف الفصل الدراسي الأول للعام الدراسي </w:t>
            </w:r>
          </w:p>
          <w:p w14:paraId="50326CDF">
            <w:pPr>
              <w:pStyle w:val="style0"/>
              <w:bidi/>
              <w:jc w:val="center"/>
              <w:rPr>
                <w:rFonts w:cs="Arial"/>
                <w:b/>
                <w:bCs/>
                <w:sz w:val="24"/>
                <w:szCs w:val="24"/>
                <w:rtl/>
              </w:rPr>
            </w:pPr>
          </w:p>
        </w:tc>
      </w:tr>
      <w:tr w14:paraId="4A12F1A0">
        <w:tblPrEx>
          <w:jc w:val="left"/>
        </w:tblPrEx>
        <w:trPr>
          <w:trHeight w:val="432" w:hRule="atLeast"/>
          <w:jc w:val="left"/>
        </w:trPr>
        <w:tc>
          <w:tcPr>
            <w:tcW w:w="3672" w:type="dxa"/>
            <w:tcBorders/>
            <w:vAlign w:val="center"/>
          </w:tcPr>
          <w:p w14:paraId="1E7DFBD6">
            <w:pPr>
              <w:pStyle w:val="style0"/>
              <w:bidi/>
              <w:rPr>
                <w:rFonts w:cs="Arial"/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cs="Arial" w:hint="cs"/>
                <w:b/>
                <w:bCs/>
                <w:sz w:val="24"/>
                <w:szCs w:val="24"/>
                <w:rtl/>
                <w:lang w:bidi="ar-JO"/>
              </w:rPr>
              <w:t>المبحث: الثقافة المالية</w:t>
            </w:r>
          </w:p>
        </w:tc>
        <w:tc>
          <w:tcPr>
            <w:tcW w:w="3672" w:type="dxa"/>
            <w:tcBorders/>
            <w:vAlign w:val="center"/>
          </w:tcPr>
          <w:p w14:paraId="6232F929">
            <w:pPr>
              <w:pStyle w:val="style0"/>
              <w:bidi/>
              <w:rPr>
                <w:rFonts w:cs="Arial"/>
                <w:b/>
                <w:bCs/>
                <w:sz w:val="24"/>
                <w:szCs w:val="24"/>
                <w:rtl/>
              </w:rPr>
            </w:pPr>
            <w:r>
              <w:rPr>
                <w:rFonts w:cs="Arial" w:hint="cs"/>
                <w:b/>
                <w:bCs/>
                <w:sz w:val="24"/>
                <w:szCs w:val="24"/>
                <w:rtl/>
              </w:rPr>
              <w:t xml:space="preserve">الصف: </w:t>
            </w:r>
            <w:r>
              <w:rPr>
                <w:rFonts w:cs="Arial" w:hint="cs"/>
                <w:b/>
                <w:bCs/>
                <w:sz w:val="24"/>
                <w:szCs w:val="24"/>
                <w:rtl/>
              </w:rPr>
              <w:t>ال</w:t>
            </w:r>
            <w:r>
              <w:rPr>
                <w:rFonts w:cs="Arial" w:hint="cs"/>
                <w:b/>
                <w:bCs/>
                <w:sz w:val="24"/>
                <w:szCs w:val="24"/>
                <w:rtl/>
              </w:rPr>
              <w:t>سابع</w:t>
            </w:r>
          </w:p>
        </w:tc>
        <w:tc>
          <w:tcPr>
            <w:tcW w:w="3672" w:type="dxa"/>
            <w:tcBorders/>
            <w:vAlign w:val="center"/>
          </w:tcPr>
          <w:p w14:paraId="588D917B">
            <w:pPr>
              <w:pStyle w:val="style0"/>
              <w:bidi/>
              <w:rPr>
                <w:rFonts w:cs="Arial"/>
                <w:b/>
                <w:bCs/>
                <w:sz w:val="24"/>
                <w:szCs w:val="24"/>
                <w:rtl/>
              </w:rPr>
            </w:pPr>
            <w:r>
              <w:rPr>
                <w:rFonts w:cs="Arial" w:hint="cs"/>
                <w:b/>
                <w:bCs/>
                <w:sz w:val="24"/>
                <w:szCs w:val="24"/>
                <w:rtl/>
              </w:rPr>
              <w:t>مدة الاختبار: 45 دقيقة .</w:t>
            </w:r>
          </w:p>
        </w:tc>
      </w:tr>
      <w:tr w14:paraId="65ABEBE8">
        <w:tblPrEx>
          <w:jc w:val="left"/>
        </w:tblPrEx>
        <w:trPr>
          <w:trHeight w:val="432" w:hRule="atLeast"/>
          <w:jc w:val="left"/>
        </w:trPr>
        <w:tc>
          <w:tcPr>
            <w:tcW w:w="3672" w:type="dxa"/>
            <w:tcBorders/>
            <w:vAlign w:val="center"/>
          </w:tcPr>
          <w:p w14:paraId="53CC6E13">
            <w:pPr>
              <w:pStyle w:val="style0"/>
              <w:bidi/>
              <w:rPr>
                <w:rFonts w:cs="Arial"/>
                <w:b/>
                <w:bCs/>
                <w:sz w:val="24"/>
                <w:szCs w:val="24"/>
                <w:rtl/>
              </w:rPr>
            </w:pPr>
            <w:r>
              <w:rPr>
                <w:rFonts w:cs="Arial" w:hint="cs"/>
                <w:b/>
                <w:bCs/>
                <w:sz w:val="24"/>
                <w:szCs w:val="24"/>
                <w:rtl/>
              </w:rPr>
              <w:t>الاسم</w:t>
            </w:r>
            <w:r>
              <w:rPr>
                <w:rFonts w:cs="Arial" w:hint="cs"/>
                <w:b/>
                <w:bCs/>
                <w:sz w:val="24"/>
                <w:szCs w:val="24"/>
                <w:rtl/>
              </w:rPr>
              <w:t>: ...........................................</w:t>
            </w:r>
          </w:p>
        </w:tc>
        <w:tc>
          <w:tcPr>
            <w:tcW w:w="3672" w:type="dxa"/>
            <w:tcBorders/>
            <w:vAlign w:val="center"/>
          </w:tcPr>
          <w:p w14:paraId="64A7BEC5">
            <w:pPr>
              <w:pStyle w:val="style0"/>
              <w:bidi/>
              <w:rPr>
                <w:rFonts w:cs="Arial"/>
                <w:b/>
                <w:bCs/>
                <w:sz w:val="24"/>
                <w:szCs w:val="24"/>
                <w:rtl/>
              </w:rPr>
            </w:pPr>
            <w:r>
              <w:rPr>
                <w:rFonts w:cs="Arial" w:hint="cs"/>
                <w:b/>
                <w:bCs/>
                <w:sz w:val="24"/>
                <w:szCs w:val="24"/>
                <w:rtl/>
              </w:rPr>
              <w:t>الشعبة: (                 )</w:t>
            </w:r>
          </w:p>
        </w:tc>
        <w:tc>
          <w:tcPr>
            <w:tcW w:w="3672" w:type="dxa"/>
            <w:tcBorders/>
            <w:vAlign w:val="center"/>
          </w:tcPr>
          <w:p w14:paraId="124E6CAD">
            <w:pPr>
              <w:pStyle w:val="style0"/>
              <w:bidi/>
              <w:rPr>
                <w:rFonts w:cs="Arial"/>
                <w:b/>
                <w:bCs/>
                <w:sz w:val="24"/>
                <w:szCs w:val="24"/>
                <w:rtl/>
              </w:rPr>
            </w:pPr>
            <w:r>
              <w:rPr>
                <w:rFonts w:cs="Arial" w:hint="cs"/>
                <w:b/>
                <w:bCs/>
                <w:sz w:val="24"/>
                <w:szCs w:val="24"/>
                <w:rtl/>
              </w:rPr>
              <w:t>اليوم والتاريخ: .................................</w:t>
            </w:r>
          </w:p>
        </w:tc>
      </w:tr>
    </w:tbl>
    <w:p w14:paraId="44B088CE">
      <w:pPr>
        <w:pStyle w:val="style0"/>
        <w:bidi/>
        <w:spacing w:after="0" w:lineRule="auto" w:line="240"/>
        <w:rPr>
          <w:b/>
          <w:bCs/>
          <w:sz w:val="24"/>
          <w:szCs w:val="24"/>
          <w:rtl/>
          <w:lang w:bidi="ar-JO"/>
        </w:rPr>
      </w:pPr>
    </w:p>
    <w:p w14:paraId="0F8612ED">
      <w:pPr>
        <w:pStyle w:val="style0"/>
        <w:bidi/>
        <w:spacing w:after="0" w:lineRule="auto" w:line="240"/>
        <w:rPr>
          <w:b/>
          <w:bCs/>
          <w:sz w:val="24"/>
          <w:szCs w:val="24"/>
          <w:rtl/>
          <w:lang w:bidi="ar-JO"/>
        </w:rPr>
      </w:pPr>
      <w:r>
        <w:rPr>
          <w:rFonts w:hint="cs"/>
          <w:b/>
          <w:bCs/>
          <w:sz w:val="24"/>
          <w:szCs w:val="24"/>
          <w:rtl/>
          <w:lang w:bidi="ar-JO"/>
        </w:rPr>
        <w:t xml:space="preserve">** </w:t>
      </w:r>
      <w:r>
        <w:rPr>
          <w:rFonts w:hint="cs"/>
          <w:b/>
          <w:bCs/>
          <w:sz w:val="24"/>
          <w:szCs w:val="24"/>
          <w:rtl/>
          <w:lang w:bidi="ar-JO"/>
        </w:rPr>
        <w:t>ضعي دائرة حول رمز الإجابة الصحيحة في كل فقرة مما يلي , علما بأن عدد الفقرات (30) , وعدد الصفحات (</w:t>
      </w:r>
      <w:r>
        <w:rPr>
          <w:rFonts w:hint="cs"/>
          <w:b/>
          <w:bCs/>
          <w:sz w:val="24"/>
          <w:szCs w:val="24"/>
          <w:rtl/>
          <w:lang w:bidi="ar-JO"/>
        </w:rPr>
        <w:t>4</w:t>
      </w:r>
      <w:r>
        <w:rPr>
          <w:rFonts w:hint="cs"/>
          <w:b/>
          <w:bCs/>
          <w:sz w:val="24"/>
          <w:szCs w:val="24"/>
          <w:rtl/>
          <w:lang w:bidi="ar-JO"/>
        </w:rPr>
        <w:t>) .</w:t>
      </w:r>
    </w:p>
    <w:p w14:paraId="18AF5C9A">
      <w:pPr>
        <w:pStyle w:val="style179"/>
        <w:numPr>
          <w:ilvl w:val="0"/>
          <w:numId w:val="1"/>
        </w:numPr>
        <w:bidi/>
        <w:spacing w:before="240" w:after="0" w:lineRule="auto" w:line="240"/>
        <w:rPr>
          <w:b/>
          <w:bCs/>
          <w:sz w:val="24"/>
          <w:szCs w:val="24"/>
          <w:lang w:bidi="ar-JO"/>
        </w:rPr>
      </w:pPr>
      <w:r>
        <w:rPr>
          <w:b/>
          <w:bCs/>
          <w:sz w:val="24"/>
          <w:szCs w:val="24"/>
          <w:rtl/>
          <w:lang w:bidi="ar-JO"/>
        </w:rPr>
        <w:t>يُعرَّف "المال" بأنه</w:t>
      </w:r>
      <w:r>
        <w:rPr>
          <w:b/>
          <w:bCs/>
          <w:sz w:val="24"/>
          <w:szCs w:val="24"/>
          <w:lang w:bidi="ar-JO"/>
        </w:rPr>
        <w:t>:</w:t>
      </w:r>
    </w:p>
    <w:tbl>
      <w:tblPr>
        <w:tblStyle w:val="style154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5148"/>
        <w:gridCol w:w="4483"/>
      </w:tblGrid>
      <w:tr w14:paraId="657C7184">
        <w:trPr/>
        <w:tc>
          <w:tcPr>
            <w:tcW w:w="5148" w:type="dxa"/>
            <w:tcBorders/>
          </w:tcPr>
          <w:p w14:paraId="328296E2">
            <w:pPr>
              <w:pStyle w:val="style179"/>
              <w:bidi/>
              <w:ind w:left="0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b/>
                <w:bCs/>
                <w:sz w:val="24"/>
                <w:szCs w:val="24"/>
                <w:rtl/>
                <w:lang w:bidi="ar-JO"/>
              </w:rPr>
              <w:t xml:space="preserve">أ) أوراق نقدية تصدرها الحكومات فقط </w:t>
            </w:r>
          </w:p>
        </w:tc>
        <w:tc>
          <w:tcPr>
            <w:tcW w:w="4483" w:type="dxa"/>
            <w:tcBorders/>
          </w:tcPr>
          <w:p w14:paraId="56E33531">
            <w:pPr>
              <w:pStyle w:val="style179"/>
              <w:bidi/>
              <w:ind w:left="0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b/>
                <w:bCs/>
                <w:sz w:val="24"/>
                <w:szCs w:val="24"/>
                <w:rtl/>
                <w:lang w:bidi="ar-JO"/>
              </w:rPr>
              <w:t xml:space="preserve">ج) الذهب والفضة والمقايضة فقط </w:t>
            </w:r>
          </w:p>
        </w:tc>
      </w:tr>
      <w:tr w14:paraId="06DEE5EA">
        <w:tblPrEx/>
        <w:trPr>
          <w:trHeight w:val="341" w:hRule="atLeast"/>
        </w:trPr>
        <w:tc>
          <w:tcPr>
            <w:tcW w:w="5148" w:type="dxa"/>
            <w:tcBorders/>
          </w:tcPr>
          <w:p w14:paraId="721BB130">
            <w:pPr>
              <w:pStyle w:val="style179"/>
              <w:bidi/>
              <w:ind w:left="0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b/>
                <w:bCs/>
                <w:sz w:val="24"/>
                <w:szCs w:val="24"/>
                <w:rtl/>
                <w:lang w:bidi="ar-JO"/>
              </w:rPr>
              <w:t>ب) أي وسيلة تُستخدم لشراء السلع والخدمات، أو سداد الديون، وتُسهّل عملية التبادل</w:t>
            </w:r>
          </w:p>
        </w:tc>
        <w:tc>
          <w:tcPr>
            <w:tcW w:w="4483" w:type="dxa"/>
            <w:tcBorders/>
          </w:tcPr>
          <w:p w14:paraId="2B696F48">
            <w:pPr>
              <w:pStyle w:val="style179"/>
              <w:bidi/>
              <w:ind w:left="0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b/>
                <w:bCs/>
                <w:sz w:val="24"/>
                <w:szCs w:val="24"/>
                <w:rtl/>
                <w:lang w:bidi="ar-JO"/>
              </w:rPr>
              <w:t>د) أرقام وحسابات إلكترونية في البنوك فقط</w:t>
            </w:r>
          </w:p>
        </w:tc>
      </w:tr>
    </w:tbl>
    <w:p w14:paraId="52CA623B">
      <w:pPr>
        <w:pStyle w:val="style179"/>
        <w:numPr>
          <w:ilvl w:val="0"/>
          <w:numId w:val="1"/>
        </w:numPr>
        <w:bidi/>
        <w:spacing w:before="240" w:after="0"/>
        <w:rPr>
          <w:b/>
          <w:bCs/>
          <w:sz w:val="24"/>
          <w:szCs w:val="24"/>
          <w:lang w:bidi="ar-JO"/>
        </w:rPr>
      </w:pPr>
      <w:r>
        <w:rPr>
          <w:b/>
          <w:bCs/>
          <w:sz w:val="24"/>
          <w:szCs w:val="24"/>
          <w:rtl/>
          <w:lang w:bidi="ar-JO"/>
        </w:rPr>
        <w:t>تُعرف "المقايضة" تاريخياً بأنها</w:t>
      </w:r>
      <w:r>
        <w:rPr>
          <w:b/>
          <w:bCs/>
          <w:sz w:val="24"/>
          <w:szCs w:val="24"/>
          <w:lang w:bidi="ar-JO"/>
        </w:rPr>
        <w:t>:</w:t>
      </w:r>
    </w:p>
    <w:tbl>
      <w:tblPr>
        <w:tblStyle w:val="style154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4968"/>
        <w:gridCol w:w="4663"/>
      </w:tblGrid>
      <w:tr w14:paraId="6BB789EA">
        <w:trPr/>
        <w:tc>
          <w:tcPr>
            <w:tcW w:w="4968" w:type="dxa"/>
            <w:tcBorders/>
          </w:tcPr>
          <w:p w14:paraId="3B0F56D2">
            <w:pPr>
              <w:pStyle w:val="style179"/>
              <w:bidi/>
              <w:ind w:left="0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b/>
                <w:bCs/>
                <w:sz w:val="24"/>
                <w:szCs w:val="24"/>
                <w:rtl/>
                <w:lang w:bidi="ar-JO"/>
              </w:rPr>
              <w:t xml:space="preserve">أ) بيع السلع باستخدام النقود الورقية </w:t>
            </w:r>
          </w:p>
        </w:tc>
        <w:tc>
          <w:tcPr>
            <w:tcW w:w="4663" w:type="dxa"/>
            <w:tcBorders/>
          </w:tcPr>
          <w:p w14:paraId="56829C6B">
            <w:pPr>
              <w:pStyle w:val="style179"/>
              <w:bidi/>
              <w:ind w:left="0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b/>
                <w:bCs/>
                <w:sz w:val="24"/>
                <w:szCs w:val="24"/>
                <w:rtl/>
                <w:lang w:bidi="ar-JO"/>
              </w:rPr>
              <w:t xml:space="preserve">ج) اقتراض الأموال من البنوك التجارية </w:t>
            </w:r>
          </w:p>
        </w:tc>
      </w:tr>
      <w:tr w14:paraId="2D34E7FF">
        <w:tblPrEx/>
        <w:trPr/>
        <w:tc>
          <w:tcPr>
            <w:tcW w:w="4968" w:type="dxa"/>
            <w:tcBorders/>
          </w:tcPr>
          <w:p w14:paraId="7B32B610">
            <w:pPr>
              <w:pStyle w:val="style179"/>
              <w:bidi/>
              <w:ind w:left="0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b/>
                <w:bCs/>
                <w:sz w:val="24"/>
                <w:szCs w:val="24"/>
                <w:rtl/>
                <w:lang w:bidi="ar-JO"/>
              </w:rPr>
              <w:t xml:space="preserve">ب) مبادلة سلعة بسلعة، أو خدمة بخدمة، دون استخدام المال </w:t>
            </w:r>
          </w:p>
        </w:tc>
        <w:tc>
          <w:tcPr>
            <w:tcW w:w="4663" w:type="dxa"/>
            <w:tcBorders/>
          </w:tcPr>
          <w:p w14:paraId="637F7EEB">
            <w:pPr>
              <w:pStyle w:val="style179"/>
              <w:bidi/>
              <w:ind w:left="0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b/>
                <w:bCs/>
                <w:sz w:val="24"/>
                <w:szCs w:val="24"/>
                <w:rtl/>
                <w:lang w:bidi="ar-JO"/>
              </w:rPr>
              <w:t xml:space="preserve">د) حفظ القيمة عبر العملات المشفرة </w:t>
            </w:r>
          </w:p>
        </w:tc>
      </w:tr>
    </w:tbl>
    <w:p w14:paraId="145B67F3">
      <w:pPr>
        <w:pStyle w:val="style179"/>
        <w:numPr>
          <w:ilvl w:val="0"/>
          <w:numId w:val="1"/>
        </w:numPr>
        <w:bidi/>
        <w:spacing w:before="240" w:after="0"/>
        <w:rPr>
          <w:b/>
          <w:bCs/>
          <w:sz w:val="24"/>
          <w:szCs w:val="24"/>
          <w:lang w:bidi="ar-JO"/>
        </w:rPr>
      </w:pPr>
      <w:r>
        <w:rPr>
          <w:b/>
          <w:bCs/>
          <w:sz w:val="24"/>
          <w:szCs w:val="24"/>
          <w:rtl/>
          <w:lang w:bidi="ar-JO"/>
        </w:rPr>
        <w:t>تُعد كل من "الدينار الأردني" و"الريال السعودي" أمثلة على</w:t>
      </w:r>
      <w:r>
        <w:rPr>
          <w:b/>
          <w:bCs/>
          <w:sz w:val="24"/>
          <w:szCs w:val="24"/>
          <w:lang w:bidi="ar-JO"/>
        </w:rPr>
        <w:t>:</w:t>
      </w:r>
    </w:p>
    <w:tbl>
      <w:tblPr>
        <w:tblStyle w:val="style154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5148"/>
        <w:gridCol w:w="4483"/>
      </w:tblGrid>
      <w:tr w14:paraId="0BB72B1F">
        <w:trPr/>
        <w:tc>
          <w:tcPr>
            <w:tcW w:w="5148" w:type="dxa"/>
            <w:tcBorders/>
          </w:tcPr>
          <w:p w14:paraId="46906325">
            <w:pPr>
              <w:pStyle w:val="style179"/>
              <w:bidi/>
              <w:ind w:left="0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b/>
                <w:bCs/>
                <w:sz w:val="24"/>
                <w:szCs w:val="24"/>
                <w:rtl/>
                <w:lang w:bidi="ar-JO"/>
              </w:rPr>
              <w:t xml:space="preserve">أ) النقود السلعية </w:t>
            </w:r>
          </w:p>
        </w:tc>
        <w:tc>
          <w:tcPr>
            <w:tcW w:w="4483" w:type="dxa"/>
            <w:tcBorders/>
          </w:tcPr>
          <w:p w14:paraId="2C386CEB">
            <w:pPr>
              <w:pStyle w:val="style179"/>
              <w:bidi/>
              <w:ind w:left="0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b/>
                <w:bCs/>
                <w:sz w:val="24"/>
                <w:szCs w:val="24"/>
                <w:rtl/>
                <w:lang w:bidi="ar-JO"/>
              </w:rPr>
              <w:t xml:space="preserve">ج) العملات المشفرة </w:t>
            </w:r>
          </w:p>
        </w:tc>
      </w:tr>
      <w:tr w14:paraId="13F36166">
        <w:tblPrEx/>
        <w:trPr/>
        <w:tc>
          <w:tcPr>
            <w:tcW w:w="5148" w:type="dxa"/>
            <w:tcBorders/>
          </w:tcPr>
          <w:p w14:paraId="0CFDFD23">
            <w:pPr>
              <w:pStyle w:val="style179"/>
              <w:bidi/>
              <w:ind w:left="0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b/>
                <w:bCs/>
                <w:sz w:val="24"/>
                <w:szCs w:val="24"/>
                <w:rtl/>
                <w:lang w:bidi="ar-JO"/>
              </w:rPr>
              <w:t>ب) النقود الورقية</w:t>
            </w:r>
          </w:p>
        </w:tc>
        <w:tc>
          <w:tcPr>
            <w:tcW w:w="4483" w:type="dxa"/>
            <w:tcBorders/>
          </w:tcPr>
          <w:p w14:paraId="06E4D606">
            <w:pPr>
              <w:pStyle w:val="style179"/>
              <w:bidi/>
              <w:ind w:left="0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b/>
                <w:bCs/>
                <w:sz w:val="24"/>
                <w:szCs w:val="24"/>
                <w:rtl/>
                <w:lang w:bidi="ar-JO"/>
              </w:rPr>
              <w:t>د) الشيكات المصرفية</w:t>
            </w:r>
          </w:p>
        </w:tc>
      </w:tr>
    </w:tbl>
    <w:p w14:paraId="3F4E0989">
      <w:pPr>
        <w:pStyle w:val="style179"/>
        <w:numPr>
          <w:ilvl w:val="0"/>
          <w:numId w:val="1"/>
        </w:numPr>
        <w:bidi/>
        <w:spacing w:before="240" w:after="0"/>
        <w:rPr>
          <w:b/>
          <w:bCs/>
          <w:sz w:val="24"/>
          <w:szCs w:val="24"/>
          <w:lang w:bidi="ar-JO"/>
        </w:rPr>
      </w:pPr>
      <w:r>
        <w:rPr>
          <w:b/>
          <w:bCs/>
          <w:sz w:val="24"/>
          <w:szCs w:val="24"/>
          <w:rtl/>
          <w:lang w:bidi="ar-JO"/>
        </w:rPr>
        <w:t>تتميز "العملات المعدنية" الصادرة عن الحكومات بأنها</w:t>
      </w:r>
      <w:r>
        <w:rPr>
          <w:b/>
          <w:bCs/>
          <w:sz w:val="24"/>
          <w:szCs w:val="24"/>
          <w:lang w:bidi="ar-JO"/>
        </w:rPr>
        <w:t>:</w:t>
      </w:r>
    </w:p>
    <w:tbl>
      <w:tblPr>
        <w:tblStyle w:val="style154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5148"/>
        <w:gridCol w:w="4483"/>
      </w:tblGrid>
      <w:tr w14:paraId="00EBD554">
        <w:trPr/>
        <w:tc>
          <w:tcPr>
            <w:tcW w:w="5148" w:type="dxa"/>
            <w:tcBorders/>
          </w:tcPr>
          <w:p w14:paraId="23BF96D3">
            <w:pPr>
              <w:pStyle w:val="style179"/>
              <w:bidi/>
              <w:ind w:left="0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b/>
                <w:bCs/>
                <w:sz w:val="24"/>
                <w:szCs w:val="24"/>
                <w:rtl/>
                <w:lang w:bidi="ar-JO"/>
              </w:rPr>
              <w:t xml:space="preserve">أ) تمتلك عمراً طويلاً مقارنة بالنقود الورقية </w:t>
            </w:r>
          </w:p>
        </w:tc>
        <w:tc>
          <w:tcPr>
            <w:tcW w:w="4483" w:type="dxa"/>
            <w:tcBorders/>
          </w:tcPr>
          <w:p w14:paraId="0809F43F">
            <w:pPr>
              <w:pStyle w:val="style179"/>
              <w:bidi/>
              <w:ind w:left="0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b/>
                <w:bCs/>
                <w:sz w:val="24"/>
                <w:szCs w:val="24"/>
                <w:rtl/>
                <w:lang w:bidi="ar-JO"/>
              </w:rPr>
              <w:t xml:space="preserve">ج) تُستخدم حصراً عبر شبكة الإنترنت </w:t>
            </w:r>
          </w:p>
        </w:tc>
      </w:tr>
      <w:tr w14:paraId="4A8A0C09">
        <w:tblPrEx/>
        <w:trPr>
          <w:trHeight w:val="323" w:hRule="atLeast"/>
        </w:trPr>
        <w:tc>
          <w:tcPr>
            <w:tcW w:w="5148" w:type="dxa"/>
            <w:tcBorders/>
          </w:tcPr>
          <w:p w14:paraId="7263B315">
            <w:pPr>
              <w:pStyle w:val="style179"/>
              <w:bidi/>
              <w:ind w:left="0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b/>
                <w:bCs/>
                <w:sz w:val="24"/>
                <w:szCs w:val="24"/>
                <w:rtl/>
                <w:lang w:bidi="ar-JO"/>
              </w:rPr>
              <w:t xml:space="preserve">ب) </w:t>
            </w:r>
            <w:r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تتعرض للتلف بسهولة</w:t>
            </w:r>
          </w:p>
        </w:tc>
        <w:tc>
          <w:tcPr>
            <w:tcW w:w="4483" w:type="dxa"/>
            <w:tcBorders/>
          </w:tcPr>
          <w:p w14:paraId="75DA15FA">
            <w:pPr>
              <w:pStyle w:val="style179"/>
              <w:bidi/>
              <w:ind w:left="0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b/>
                <w:bCs/>
                <w:sz w:val="24"/>
                <w:szCs w:val="24"/>
                <w:rtl/>
                <w:lang w:bidi="ar-JO"/>
              </w:rPr>
              <w:t>د) لا يمكن قبولها إلا في أماكن محدودة جداً</w:t>
            </w:r>
          </w:p>
        </w:tc>
      </w:tr>
    </w:tbl>
    <w:p w14:paraId="0A664C7A">
      <w:pPr>
        <w:pStyle w:val="style179"/>
        <w:numPr>
          <w:ilvl w:val="0"/>
          <w:numId w:val="1"/>
        </w:numPr>
        <w:bidi/>
        <w:spacing w:before="240" w:after="0"/>
        <w:rPr>
          <w:b/>
          <w:bCs/>
          <w:sz w:val="24"/>
          <w:szCs w:val="24"/>
          <w:lang w:bidi="ar-JO"/>
        </w:rPr>
      </w:pPr>
      <w:r>
        <w:rPr>
          <w:b/>
          <w:bCs/>
          <w:sz w:val="24"/>
          <w:szCs w:val="24"/>
          <w:rtl/>
          <w:lang w:bidi="ar-JO"/>
        </w:rPr>
        <w:t>تُعتبر كل من (الذهب، الفضة، الملح) من أمثلة</w:t>
      </w:r>
      <w:r>
        <w:rPr>
          <w:b/>
          <w:bCs/>
          <w:sz w:val="24"/>
          <w:szCs w:val="24"/>
          <w:lang w:bidi="ar-JO"/>
        </w:rPr>
        <w:t>:</w:t>
      </w:r>
    </w:p>
    <w:tbl>
      <w:tblPr>
        <w:tblStyle w:val="style154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5148"/>
        <w:gridCol w:w="4483"/>
      </w:tblGrid>
      <w:tr w14:paraId="5C5EF723">
        <w:trPr/>
        <w:tc>
          <w:tcPr>
            <w:tcW w:w="5148" w:type="dxa"/>
            <w:tcBorders/>
          </w:tcPr>
          <w:p w14:paraId="0F4ADC75">
            <w:pPr>
              <w:pStyle w:val="style179"/>
              <w:bidi/>
              <w:ind w:left="0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b/>
                <w:bCs/>
                <w:sz w:val="24"/>
                <w:szCs w:val="24"/>
                <w:rtl/>
                <w:lang w:bidi="ar-JO"/>
              </w:rPr>
              <w:t xml:space="preserve">أ) النقود السلعية </w:t>
            </w:r>
          </w:p>
        </w:tc>
        <w:tc>
          <w:tcPr>
            <w:tcW w:w="4483" w:type="dxa"/>
            <w:tcBorders/>
          </w:tcPr>
          <w:p w14:paraId="45F8298E">
            <w:pPr>
              <w:pStyle w:val="style179"/>
              <w:bidi/>
              <w:ind w:left="0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b/>
                <w:bCs/>
                <w:sz w:val="24"/>
                <w:szCs w:val="24"/>
                <w:rtl/>
                <w:lang w:bidi="ar-JO"/>
              </w:rPr>
              <w:t xml:space="preserve">ج) العملات الرقمية المشفرة </w:t>
            </w:r>
          </w:p>
        </w:tc>
      </w:tr>
      <w:tr w14:paraId="28149A5E">
        <w:tblPrEx/>
        <w:trPr/>
        <w:tc>
          <w:tcPr>
            <w:tcW w:w="5148" w:type="dxa"/>
            <w:tcBorders/>
          </w:tcPr>
          <w:p w14:paraId="423BEFA7">
            <w:pPr>
              <w:pStyle w:val="style179"/>
              <w:bidi/>
              <w:ind w:left="0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b/>
                <w:bCs/>
                <w:sz w:val="24"/>
                <w:szCs w:val="24"/>
                <w:rtl/>
                <w:lang w:bidi="ar-JO"/>
              </w:rPr>
              <w:t>ب) النقود الورقية</w:t>
            </w:r>
          </w:p>
        </w:tc>
        <w:tc>
          <w:tcPr>
            <w:tcW w:w="4483" w:type="dxa"/>
            <w:tcBorders/>
          </w:tcPr>
          <w:p w14:paraId="1065AFC4">
            <w:pPr>
              <w:pStyle w:val="style179"/>
              <w:bidi/>
              <w:ind w:left="0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b/>
                <w:bCs/>
                <w:sz w:val="24"/>
                <w:szCs w:val="24"/>
                <w:rtl/>
                <w:lang w:bidi="ar-JO"/>
              </w:rPr>
              <w:t>د) المحافظ الإلكترونية</w:t>
            </w:r>
          </w:p>
        </w:tc>
      </w:tr>
    </w:tbl>
    <w:p w14:paraId="2EC2DD8B">
      <w:pPr>
        <w:pStyle w:val="style179"/>
        <w:numPr>
          <w:ilvl w:val="0"/>
          <w:numId w:val="1"/>
        </w:numPr>
        <w:bidi/>
        <w:spacing w:before="240" w:after="0"/>
        <w:rPr>
          <w:b/>
          <w:bCs/>
          <w:sz w:val="24"/>
          <w:szCs w:val="24"/>
          <w:lang w:bidi="ar-JO"/>
        </w:rPr>
      </w:pPr>
      <w:r>
        <w:rPr>
          <w:b/>
          <w:bCs/>
          <w:sz w:val="24"/>
          <w:szCs w:val="24"/>
          <w:rtl/>
          <w:lang w:bidi="ar-JO"/>
        </w:rPr>
        <w:t>الشيك المصرفي هو</w:t>
      </w:r>
      <w:r>
        <w:rPr>
          <w:b/>
          <w:bCs/>
          <w:sz w:val="24"/>
          <w:szCs w:val="24"/>
          <w:lang w:bidi="ar-JO"/>
        </w:rPr>
        <w:t>:</w:t>
      </w:r>
    </w:p>
    <w:tbl>
      <w:tblPr>
        <w:tblStyle w:val="style154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5148"/>
        <w:gridCol w:w="4483"/>
      </w:tblGrid>
      <w:tr w14:paraId="5DB1E010">
        <w:trPr/>
        <w:tc>
          <w:tcPr>
            <w:tcW w:w="5148" w:type="dxa"/>
            <w:tcBorders/>
          </w:tcPr>
          <w:p w14:paraId="66502555">
            <w:pPr>
              <w:pStyle w:val="style179"/>
              <w:bidi/>
              <w:ind w:left="0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b/>
                <w:bCs/>
                <w:sz w:val="24"/>
                <w:szCs w:val="24"/>
                <w:rtl/>
                <w:lang w:bidi="ar-JO"/>
              </w:rPr>
              <w:t xml:space="preserve">أ) أموال رقمية تُستخدم في المعاملات اليومية </w:t>
            </w:r>
          </w:p>
        </w:tc>
        <w:tc>
          <w:tcPr>
            <w:tcW w:w="4483" w:type="dxa"/>
            <w:tcBorders/>
          </w:tcPr>
          <w:p w14:paraId="2BB519F7">
            <w:pPr>
              <w:pStyle w:val="style179"/>
              <w:bidi/>
              <w:ind w:left="0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b/>
                <w:bCs/>
                <w:sz w:val="24"/>
                <w:szCs w:val="24"/>
                <w:rtl/>
                <w:lang w:bidi="ar-JO"/>
              </w:rPr>
              <w:t xml:space="preserve">ج) نوع من العملات </w:t>
            </w:r>
          </w:p>
        </w:tc>
      </w:tr>
      <w:tr w14:paraId="47DDA65E">
        <w:tblPrEx/>
        <w:trPr/>
        <w:tc>
          <w:tcPr>
            <w:tcW w:w="5148" w:type="dxa"/>
            <w:tcBorders/>
          </w:tcPr>
          <w:p w14:paraId="0BED9CA8">
            <w:pPr>
              <w:pStyle w:val="style179"/>
              <w:bidi/>
              <w:ind w:left="0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b/>
                <w:bCs/>
                <w:sz w:val="24"/>
                <w:szCs w:val="24"/>
                <w:rtl/>
                <w:lang w:bidi="ar-JO"/>
              </w:rPr>
              <w:t>ب) أمر مكتوب لدفع مبلغ معين للمستفيد</w:t>
            </w:r>
            <w:r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 xml:space="preserve"> من الشيك</w:t>
            </w:r>
          </w:p>
        </w:tc>
        <w:tc>
          <w:tcPr>
            <w:tcW w:w="4483" w:type="dxa"/>
            <w:tcBorders/>
          </w:tcPr>
          <w:p w14:paraId="359FA084">
            <w:pPr>
              <w:pStyle w:val="style179"/>
              <w:bidi/>
              <w:ind w:left="0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b/>
                <w:bCs/>
                <w:sz w:val="24"/>
                <w:szCs w:val="24"/>
                <w:rtl/>
                <w:lang w:bidi="ar-JO"/>
              </w:rPr>
              <w:t>د) قطع معدنية قديمة أُنقض التعامل بها</w:t>
            </w:r>
          </w:p>
        </w:tc>
      </w:tr>
    </w:tbl>
    <w:p w14:paraId="1DC64888">
      <w:pPr>
        <w:pStyle w:val="style179"/>
        <w:numPr>
          <w:ilvl w:val="0"/>
          <w:numId w:val="1"/>
        </w:numPr>
        <w:bidi/>
        <w:spacing w:before="240" w:after="0"/>
        <w:rPr>
          <w:b/>
          <w:bCs/>
          <w:sz w:val="24"/>
          <w:szCs w:val="24"/>
          <w:lang w:bidi="ar-JO"/>
        </w:rPr>
      </w:pPr>
      <w:r>
        <w:rPr>
          <w:b/>
          <w:bCs/>
          <w:sz w:val="24"/>
          <w:szCs w:val="24"/>
          <w:rtl/>
          <w:lang w:bidi="ar-JO"/>
        </w:rPr>
        <w:t>تُعرف "العملات الرقمية" بأنها</w:t>
      </w:r>
      <w:r>
        <w:rPr>
          <w:b/>
          <w:bCs/>
          <w:sz w:val="24"/>
          <w:szCs w:val="24"/>
          <w:lang w:bidi="ar-JO"/>
        </w:rPr>
        <w:t>:</w:t>
      </w:r>
    </w:p>
    <w:tbl>
      <w:tblPr>
        <w:tblStyle w:val="style154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5148"/>
        <w:gridCol w:w="4483"/>
      </w:tblGrid>
      <w:tr w14:paraId="0C60C908">
        <w:trPr/>
        <w:tc>
          <w:tcPr>
            <w:tcW w:w="5148" w:type="dxa"/>
            <w:tcBorders/>
          </w:tcPr>
          <w:p w14:paraId="7441B510">
            <w:pPr>
              <w:pStyle w:val="style179"/>
              <w:bidi/>
              <w:ind w:left="0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b/>
                <w:bCs/>
                <w:sz w:val="24"/>
                <w:szCs w:val="24"/>
                <w:rtl/>
                <w:lang w:bidi="ar-JO"/>
              </w:rPr>
              <w:t xml:space="preserve">أ) البيتكوين والإيثريوم فقط </w:t>
            </w:r>
          </w:p>
        </w:tc>
        <w:tc>
          <w:tcPr>
            <w:tcW w:w="4483" w:type="dxa"/>
            <w:tcBorders/>
          </w:tcPr>
          <w:p w14:paraId="17CC1C27">
            <w:pPr>
              <w:pStyle w:val="style179"/>
              <w:bidi/>
              <w:ind w:left="0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b/>
                <w:bCs/>
                <w:sz w:val="24"/>
                <w:szCs w:val="24"/>
                <w:rtl/>
                <w:lang w:bidi="ar-JO"/>
              </w:rPr>
              <w:t xml:space="preserve">ج) أوراق نقدية صدرت عن البنك المركزي </w:t>
            </w:r>
          </w:p>
        </w:tc>
      </w:tr>
      <w:tr w14:paraId="39B168F1">
        <w:tblPrEx/>
        <w:trPr/>
        <w:tc>
          <w:tcPr>
            <w:tcW w:w="5148" w:type="dxa"/>
            <w:tcBorders/>
          </w:tcPr>
          <w:p w14:paraId="780CE89B">
            <w:pPr>
              <w:pStyle w:val="style179"/>
              <w:bidi/>
              <w:ind w:left="0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b/>
                <w:bCs/>
                <w:sz w:val="24"/>
                <w:szCs w:val="24"/>
                <w:rtl/>
                <w:lang w:bidi="ar-JO"/>
              </w:rPr>
              <w:t>ب) أموال إلكترونية تُستخدم في عمليات الشراء والبيع عبر الإنترنت دون حاجة لنقود ورقية أو بنوك</w:t>
            </w:r>
          </w:p>
        </w:tc>
        <w:tc>
          <w:tcPr>
            <w:tcW w:w="4483" w:type="dxa"/>
            <w:tcBorders/>
          </w:tcPr>
          <w:p w14:paraId="22448510">
            <w:pPr>
              <w:pStyle w:val="style179"/>
              <w:bidi/>
              <w:ind w:left="0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b/>
                <w:bCs/>
                <w:sz w:val="24"/>
                <w:szCs w:val="24"/>
                <w:rtl/>
                <w:lang w:bidi="ar-JO"/>
              </w:rPr>
              <w:t>د) شيكات ومستندات ورقية معتمدة</w:t>
            </w:r>
          </w:p>
        </w:tc>
      </w:tr>
    </w:tbl>
    <w:p w14:paraId="36F55596">
      <w:pPr>
        <w:pStyle w:val="style179"/>
        <w:bidi/>
        <w:spacing w:before="240" w:after="0"/>
        <w:rPr>
          <w:b/>
          <w:bCs/>
          <w:sz w:val="24"/>
          <w:szCs w:val="24"/>
          <w:lang w:bidi="ar-JO"/>
        </w:rPr>
      </w:pPr>
    </w:p>
    <w:p w14:paraId="7CE13028">
      <w:pPr>
        <w:pStyle w:val="style179"/>
        <w:bidi/>
        <w:spacing w:before="240" w:after="0"/>
        <w:rPr>
          <w:b/>
          <w:bCs/>
          <w:sz w:val="24"/>
          <w:szCs w:val="24"/>
          <w:lang w:bidi="ar-JO"/>
        </w:rPr>
      </w:pPr>
    </w:p>
    <w:p w14:paraId="66017879">
      <w:pPr>
        <w:pStyle w:val="style179"/>
        <w:bidi/>
        <w:spacing w:before="240" w:after="0"/>
        <w:jc w:val="right"/>
        <w:rPr>
          <w:b/>
          <w:bCs/>
          <w:sz w:val="24"/>
          <w:szCs w:val="24"/>
          <w:lang w:bidi="ar-JO"/>
        </w:rPr>
      </w:pPr>
      <w:r>
        <w:rPr>
          <w:rFonts w:hint="cs"/>
          <w:b/>
          <w:bCs/>
          <w:sz w:val="24"/>
          <w:szCs w:val="24"/>
          <w:rtl/>
          <w:lang w:bidi="ar-JO"/>
        </w:rPr>
        <w:t>يتبع الصفحة الثانية...</w:t>
      </w:r>
    </w:p>
    <w:p w14:paraId="60ABBBC2">
      <w:pPr>
        <w:pStyle w:val="style179"/>
        <w:numPr>
          <w:ilvl w:val="0"/>
          <w:numId w:val="1"/>
        </w:numPr>
        <w:bidi/>
        <w:spacing w:before="240" w:after="0"/>
        <w:rPr>
          <w:b/>
          <w:bCs/>
          <w:sz w:val="24"/>
          <w:szCs w:val="24"/>
          <w:lang w:bidi="ar-JO"/>
        </w:rPr>
      </w:pPr>
      <w:r>
        <w:rPr>
          <w:b/>
          <w:bCs/>
          <w:sz w:val="24"/>
          <w:szCs w:val="24"/>
          <w:rtl/>
          <w:lang w:bidi="ar-JO"/>
        </w:rPr>
        <w:t>تعتمد "العملات المشفرة" (مثل البيتكوين) أساساً على تقنية</w:t>
      </w:r>
      <w:r>
        <w:rPr>
          <w:b/>
          <w:bCs/>
          <w:sz w:val="24"/>
          <w:szCs w:val="24"/>
          <w:lang w:bidi="ar-JO"/>
        </w:rPr>
        <w:t>:</w:t>
      </w:r>
    </w:p>
    <w:tbl>
      <w:tblPr>
        <w:tblStyle w:val="style154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5148"/>
        <w:gridCol w:w="4483"/>
      </w:tblGrid>
      <w:tr w14:paraId="0E239B75">
        <w:trPr/>
        <w:tc>
          <w:tcPr>
            <w:tcW w:w="5148" w:type="dxa"/>
            <w:tcBorders/>
          </w:tcPr>
          <w:p w14:paraId="2C2B007D">
            <w:pPr>
              <w:pStyle w:val="style179"/>
              <w:bidi/>
              <w:ind w:left="0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b/>
                <w:bCs/>
                <w:sz w:val="24"/>
                <w:szCs w:val="24"/>
                <w:rtl/>
                <w:lang w:bidi="ar-JO"/>
              </w:rPr>
              <w:t>أ) البلوكتشين</w:t>
            </w:r>
            <w:r>
              <w:rPr>
                <w:b/>
                <w:bCs/>
                <w:sz w:val="24"/>
                <w:szCs w:val="24"/>
                <w:lang w:bidi="ar-JO"/>
              </w:rPr>
              <w:t xml:space="preserve"> (Blockchain) </w:t>
            </w:r>
          </w:p>
        </w:tc>
        <w:tc>
          <w:tcPr>
            <w:tcW w:w="4483" w:type="dxa"/>
            <w:tcBorders/>
          </w:tcPr>
          <w:p w14:paraId="08BE788E">
            <w:pPr>
              <w:pStyle w:val="style179"/>
              <w:bidi/>
              <w:ind w:left="0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b/>
                <w:bCs/>
                <w:sz w:val="24"/>
                <w:szCs w:val="24"/>
                <w:rtl/>
                <w:lang w:bidi="ar-JO"/>
              </w:rPr>
              <w:t xml:space="preserve">ج) السجلات الورقية التقليدية </w:t>
            </w:r>
          </w:p>
        </w:tc>
      </w:tr>
      <w:tr w14:paraId="4F56B19F">
        <w:tblPrEx/>
        <w:trPr/>
        <w:tc>
          <w:tcPr>
            <w:tcW w:w="5148" w:type="dxa"/>
            <w:tcBorders/>
          </w:tcPr>
          <w:p w14:paraId="070F9001">
            <w:pPr>
              <w:pStyle w:val="style179"/>
              <w:bidi/>
              <w:ind w:left="0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b/>
                <w:bCs/>
                <w:sz w:val="24"/>
                <w:szCs w:val="24"/>
                <w:rtl/>
                <w:lang w:bidi="ar-JO"/>
              </w:rPr>
              <w:t>ب) المقايضة المباشرة</w:t>
            </w:r>
          </w:p>
        </w:tc>
        <w:tc>
          <w:tcPr>
            <w:tcW w:w="4483" w:type="dxa"/>
            <w:tcBorders/>
          </w:tcPr>
          <w:p w14:paraId="7B142830">
            <w:pPr>
              <w:pStyle w:val="style179"/>
              <w:bidi/>
              <w:ind w:left="0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b/>
                <w:bCs/>
                <w:sz w:val="24"/>
                <w:szCs w:val="24"/>
                <w:rtl/>
                <w:lang w:bidi="ar-JO"/>
              </w:rPr>
              <w:t>د) المسكوكات المعدنية</w:t>
            </w:r>
          </w:p>
        </w:tc>
      </w:tr>
    </w:tbl>
    <w:p w14:paraId="18639657">
      <w:pPr>
        <w:pStyle w:val="style179"/>
        <w:numPr>
          <w:ilvl w:val="0"/>
          <w:numId w:val="1"/>
        </w:numPr>
        <w:bidi/>
        <w:spacing w:before="240" w:after="0"/>
        <w:rPr>
          <w:b/>
          <w:bCs/>
          <w:sz w:val="24"/>
          <w:szCs w:val="24"/>
          <w:lang w:bidi="ar-JO"/>
        </w:rPr>
      </w:pPr>
      <w:r>
        <w:rPr>
          <w:b/>
          <w:bCs/>
          <w:sz w:val="24"/>
          <w:szCs w:val="24"/>
          <w:rtl/>
          <w:lang w:bidi="ar-JO"/>
        </w:rPr>
        <w:t>العلاقة بين مفهومي (المال) و(النقود) هي</w:t>
      </w:r>
      <w:r>
        <w:rPr>
          <w:b/>
          <w:bCs/>
          <w:sz w:val="24"/>
          <w:szCs w:val="24"/>
          <w:lang w:bidi="ar-JO"/>
        </w:rPr>
        <w:t>:</w:t>
      </w:r>
    </w:p>
    <w:tbl>
      <w:tblPr>
        <w:tblStyle w:val="style154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5148"/>
        <w:gridCol w:w="4483"/>
      </w:tblGrid>
      <w:tr w14:paraId="16B66A5B">
        <w:trPr/>
        <w:tc>
          <w:tcPr>
            <w:tcW w:w="5148" w:type="dxa"/>
            <w:tcBorders/>
          </w:tcPr>
          <w:p w14:paraId="09B48707">
            <w:pPr>
              <w:pStyle w:val="style179"/>
              <w:bidi/>
              <w:ind w:left="0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b/>
                <w:bCs/>
                <w:sz w:val="24"/>
                <w:szCs w:val="24"/>
                <w:rtl/>
                <w:lang w:bidi="ar-JO"/>
              </w:rPr>
              <w:t xml:space="preserve">أ) هما مصطلحان متطابقان تماماً ولا يوجد أي فرق بينهما </w:t>
            </w:r>
          </w:p>
        </w:tc>
        <w:tc>
          <w:tcPr>
            <w:tcW w:w="4483" w:type="dxa"/>
            <w:tcBorders/>
          </w:tcPr>
          <w:p w14:paraId="6DACBC08">
            <w:pPr>
              <w:pStyle w:val="style179"/>
              <w:bidi/>
              <w:ind w:left="0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b/>
                <w:bCs/>
                <w:sz w:val="24"/>
                <w:szCs w:val="24"/>
                <w:rtl/>
                <w:lang w:bidi="ar-JO"/>
              </w:rPr>
              <w:t xml:space="preserve">ج) النقود تشمل العقارات والسلع، والمال يشمل الأوراق النقدية فقط </w:t>
            </w:r>
          </w:p>
        </w:tc>
      </w:tr>
      <w:tr w14:paraId="3A19A2EA">
        <w:tblPrEx/>
        <w:trPr/>
        <w:tc>
          <w:tcPr>
            <w:tcW w:w="5148" w:type="dxa"/>
            <w:tcBorders/>
          </w:tcPr>
          <w:p w14:paraId="6F1AEAD0">
            <w:pPr>
              <w:pStyle w:val="style179"/>
              <w:bidi/>
              <w:ind w:left="0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b/>
                <w:bCs/>
                <w:sz w:val="24"/>
                <w:szCs w:val="24"/>
                <w:rtl/>
                <w:lang w:bidi="ar-JO"/>
              </w:rPr>
              <w:t>ب) المال مفهوم أعم وأشمل، بينما النقود هي شكل من أشكال المال لتسهيل التبادل</w:t>
            </w:r>
          </w:p>
        </w:tc>
        <w:tc>
          <w:tcPr>
            <w:tcW w:w="4483" w:type="dxa"/>
            <w:tcBorders/>
          </w:tcPr>
          <w:p w14:paraId="76AF31E2">
            <w:pPr>
              <w:pStyle w:val="style179"/>
              <w:bidi/>
              <w:ind w:left="0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b/>
                <w:bCs/>
                <w:sz w:val="24"/>
                <w:szCs w:val="24"/>
                <w:rtl/>
                <w:lang w:bidi="ar-JO"/>
              </w:rPr>
              <w:t xml:space="preserve">د) المال يقتصر على المعاملات الرقمية الإلكترونية فقط </w:t>
            </w:r>
          </w:p>
        </w:tc>
      </w:tr>
    </w:tbl>
    <w:p w14:paraId="31009921">
      <w:pPr>
        <w:pStyle w:val="style179"/>
        <w:numPr>
          <w:ilvl w:val="0"/>
          <w:numId w:val="1"/>
        </w:numPr>
        <w:bidi/>
        <w:spacing w:before="240" w:after="0"/>
        <w:rPr>
          <w:b/>
          <w:bCs/>
          <w:sz w:val="24"/>
          <w:szCs w:val="24"/>
          <w:lang w:bidi="ar-JO"/>
        </w:rPr>
      </w:pPr>
      <w:r>
        <w:rPr>
          <w:b/>
          <w:bCs/>
          <w:sz w:val="24"/>
          <w:szCs w:val="24"/>
          <w:rtl/>
          <w:lang w:bidi="ar-JO"/>
        </w:rPr>
        <w:t>يُعتبر الاستخدام الرئيسي المباشر للمال في حياتنا اليومية هو</w:t>
      </w:r>
      <w:r>
        <w:rPr>
          <w:b/>
          <w:bCs/>
          <w:sz w:val="24"/>
          <w:szCs w:val="24"/>
          <w:lang w:bidi="ar-JO"/>
        </w:rPr>
        <w:t>:</w:t>
      </w:r>
    </w:p>
    <w:tbl>
      <w:tblPr>
        <w:tblStyle w:val="style154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5148"/>
        <w:gridCol w:w="4483"/>
      </w:tblGrid>
      <w:tr w14:paraId="1A74A817">
        <w:trPr/>
        <w:tc>
          <w:tcPr>
            <w:tcW w:w="5148" w:type="dxa"/>
            <w:tcBorders/>
          </w:tcPr>
          <w:p w14:paraId="5FA1D22D">
            <w:pPr>
              <w:pStyle w:val="style179"/>
              <w:bidi/>
              <w:ind w:left="0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b/>
                <w:bCs/>
                <w:sz w:val="24"/>
                <w:szCs w:val="24"/>
                <w:rtl/>
                <w:lang w:bidi="ar-JO"/>
              </w:rPr>
              <w:t xml:space="preserve">أ) وسيلة للاستثمار طويل الأجل </w:t>
            </w:r>
          </w:p>
        </w:tc>
        <w:tc>
          <w:tcPr>
            <w:tcW w:w="4483" w:type="dxa"/>
            <w:tcBorders/>
          </w:tcPr>
          <w:p w14:paraId="5E0900E8">
            <w:pPr>
              <w:pStyle w:val="style179"/>
              <w:bidi/>
              <w:ind w:left="0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b/>
                <w:bCs/>
                <w:sz w:val="24"/>
                <w:szCs w:val="24"/>
                <w:rtl/>
                <w:lang w:bidi="ar-JO"/>
              </w:rPr>
              <w:t xml:space="preserve">ج) وسيلة لشراء السلع والخدمات لتوفير الحاجات اليومية </w:t>
            </w:r>
          </w:p>
        </w:tc>
      </w:tr>
      <w:tr w14:paraId="742F352C">
        <w:tblPrEx/>
        <w:trPr/>
        <w:tc>
          <w:tcPr>
            <w:tcW w:w="5148" w:type="dxa"/>
            <w:tcBorders/>
          </w:tcPr>
          <w:p w14:paraId="08612BBD">
            <w:pPr>
              <w:pStyle w:val="style179"/>
              <w:bidi/>
              <w:ind w:left="0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b/>
                <w:bCs/>
                <w:sz w:val="24"/>
                <w:szCs w:val="24"/>
                <w:rtl/>
                <w:lang w:bidi="ar-JO"/>
              </w:rPr>
              <w:t xml:space="preserve">ب) وسيلة للتبرع ودعم الجمعيات </w:t>
            </w:r>
          </w:p>
        </w:tc>
        <w:tc>
          <w:tcPr>
            <w:tcW w:w="4483" w:type="dxa"/>
            <w:tcBorders/>
          </w:tcPr>
          <w:p w14:paraId="12D799AD">
            <w:pPr>
              <w:pStyle w:val="style179"/>
              <w:bidi/>
              <w:ind w:left="0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b/>
                <w:bCs/>
                <w:sz w:val="24"/>
                <w:szCs w:val="24"/>
                <w:rtl/>
                <w:lang w:bidi="ar-JO"/>
              </w:rPr>
              <w:t>د) وسيلة للتفاخر والتباهي</w:t>
            </w:r>
          </w:p>
        </w:tc>
      </w:tr>
    </w:tbl>
    <w:p w14:paraId="234CC3F3">
      <w:pPr>
        <w:pStyle w:val="style179"/>
        <w:numPr>
          <w:ilvl w:val="0"/>
          <w:numId w:val="1"/>
        </w:numPr>
        <w:bidi/>
        <w:spacing w:before="240" w:after="0"/>
        <w:rPr>
          <w:b/>
          <w:bCs/>
          <w:sz w:val="24"/>
          <w:szCs w:val="24"/>
          <w:lang w:bidi="ar-JO"/>
        </w:rPr>
      </w:pPr>
      <w:r>
        <w:rPr>
          <w:b/>
          <w:bCs/>
          <w:sz w:val="24"/>
          <w:szCs w:val="24"/>
          <w:rtl/>
          <w:lang w:bidi="ar-JO"/>
        </w:rPr>
        <w:t>يقصد بـ "الادخار" كأحد استخدامات المال</w:t>
      </w:r>
      <w:r>
        <w:rPr>
          <w:b/>
          <w:bCs/>
          <w:sz w:val="24"/>
          <w:szCs w:val="24"/>
          <w:lang w:bidi="ar-JO"/>
        </w:rPr>
        <w:t>:</w:t>
      </w:r>
    </w:p>
    <w:tbl>
      <w:tblPr>
        <w:tblStyle w:val="style154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5148"/>
        <w:gridCol w:w="4483"/>
      </w:tblGrid>
      <w:tr w14:paraId="21265650">
        <w:trPr/>
        <w:tc>
          <w:tcPr>
            <w:tcW w:w="5148" w:type="dxa"/>
            <w:tcBorders/>
          </w:tcPr>
          <w:p w14:paraId="5A0297B4">
            <w:pPr>
              <w:pStyle w:val="style179"/>
              <w:bidi/>
              <w:ind w:left="0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b/>
                <w:bCs/>
                <w:sz w:val="24"/>
                <w:szCs w:val="24"/>
                <w:rtl/>
                <w:lang w:bidi="ar-JO"/>
              </w:rPr>
              <w:t xml:space="preserve">أ) إنفاق جميع الأموال فور الحصول عليها </w:t>
            </w:r>
          </w:p>
        </w:tc>
        <w:tc>
          <w:tcPr>
            <w:tcW w:w="4483" w:type="dxa"/>
            <w:tcBorders/>
          </w:tcPr>
          <w:p w14:paraId="3082B353">
            <w:pPr>
              <w:pStyle w:val="style179"/>
              <w:bidi/>
              <w:ind w:left="0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b/>
                <w:bCs/>
                <w:sz w:val="24"/>
                <w:szCs w:val="24"/>
                <w:rtl/>
                <w:lang w:bidi="ar-JO"/>
              </w:rPr>
              <w:t xml:space="preserve">ج) المساهمة المباشرة في المشاريع الاستثمارية الكبرى </w:t>
            </w:r>
          </w:p>
        </w:tc>
      </w:tr>
      <w:tr w14:paraId="7EB77EF4">
        <w:tblPrEx/>
        <w:trPr/>
        <w:tc>
          <w:tcPr>
            <w:tcW w:w="5148" w:type="dxa"/>
            <w:tcBorders/>
          </w:tcPr>
          <w:p w14:paraId="56CA08C3">
            <w:pPr>
              <w:pStyle w:val="style179"/>
              <w:bidi/>
              <w:ind w:left="0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b/>
                <w:bCs/>
                <w:sz w:val="24"/>
                <w:szCs w:val="24"/>
                <w:rtl/>
                <w:lang w:bidi="ar-JO"/>
              </w:rPr>
              <w:t>ب) الاحتفاظ بالمال لاستخدامه مستقبلاً عند الحاجة مثل توفير تكاليف التعليم أو شراء منزل</w:t>
            </w:r>
          </w:p>
        </w:tc>
        <w:tc>
          <w:tcPr>
            <w:tcW w:w="4483" w:type="dxa"/>
            <w:tcBorders/>
          </w:tcPr>
          <w:p w14:paraId="1FBF088B">
            <w:pPr>
              <w:pStyle w:val="style179"/>
              <w:bidi/>
              <w:ind w:left="0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b/>
                <w:bCs/>
                <w:sz w:val="24"/>
                <w:szCs w:val="24"/>
                <w:rtl/>
                <w:lang w:bidi="ar-JO"/>
              </w:rPr>
              <w:t>د) الاقتراض من الآخرين لشراء الكماليات</w:t>
            </w:r>
          </w:p>
        </w:tc>
      </w:tr>
    </w:tbl>
    <w:p w14:paraId="005092FE">
      <w:pPr>
        <w:pStyle w:val="style179"/>
        <w:numPr>
          <w:ilvl w:val="0"/>
          <w:numId w:val="1"/>
        </w:numPr>
        <w:bidi/>
        <w:spacing w:before="240" w:after="0"/>
        <w:rPr>
          <w:b/>
          <w:bCs/>
          <w:sz w:val="24"/>
          <w:szCs w:val="24"/>
          <w:lang w:bidi="ar-JO"/>
        </w:rPr>
      </w:pPr>
      <w:r>
        <w:rPr>
          <w:b/>
          <w:bCs/>
          <w:sz w:val="24"/>
          <w:szCs w:val="24"/>
          <w:rtl/>
          <w:lang w:bidi="ar-JO"/>
        </w:rPr>
        <w:t>يُعرَّف "استثمار المال" بأنه</w:t>
      </w:r>
      <w:r>
        <w:rPr>
          <w:b/>
          <w:bCs/>
          <w:sz w:val="24"/>
          <w:szCs w:val="24"/>
          <w:lang w:bidi="ar-JO"/>
        </w:rPr>
        <w:t>:</w:t>
      </w:r>
    </w:p>
    <w:tbl>
      <w:tblPr>
        <w:tblStyle w:val="style154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5148"/>
        <w:gridCol w:w="4483"/>
      </w:tblGrid>
      <w:tr w14:paraId="5971CBD8">
        <w:trPr/>
        <w:tc>
          <w:tcPr>
            <w:tcW w:w="5148" w:type="dxa"/>
            <w:tcBorders/>
          </w:tcPr>
          <w:p w14:paraId="47B982BD">
            <w:pPr>
              <w:pStyle w:val="style179"/>
              <w:bidi/>
              <w:ind w:left="0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b/>
                <w:bCs/>
                <w:sz w:val="24"/>
                <w:szCs w:val="24"/>
                <w:rtl/>
                <w:lang w:bidi="ar-JO"/>
              </w:rPr>
              <w:t xml:space="preserve">أ) ترك الأموال مجمّدة في الحسابات دون تشغيل </w:t>
            </w:r>
          </w:p>
        </w:tc>
        <w:tc>
          <w:tcPr>
            <w:tcW w:w="4483" w:type="dxa"/>
            <w:tcBorders/>
          </w:tcPr>
          <w:p w14:paraId="32D967D9">
            <w:pPr>
              <w:pStyle w:val="style179"/>
              <w:bidi/>
              <w:ind w:left="0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b/>
                <w:bCs/>
                <w:sz w:val="24"/>
                <w:szCs w:val="24"/>
                <w:rtl/>
                <w:lang w:bidi="ar-JO"/>
              </w:rPr>
              <w:t xml:space="preserve">ج) استهلاك جميع الأموال المتاحة في تلبية الرغبات الشخصية </w:t>
            </w:r>
          </w:p>
        </w:tc>
      </w:tr>
      <w:tr w14:paraId="235DA1FE">
        <w:tblPrEx/>
        <w:trPr/>
        <w:tc>
          <w:tcPr>
            <w:tcW w:w="5148" w:type="dxa"/>
            <w:tcBorders/>
          </w:tcPr>
          <w:p w14:paraId="7DA5F967">
            <w:pPr>
              <w:pStyle w:val="style179"/>
              <w:bidi/>
              <w:ind w:left="0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b/>
                <w:bCs/>
                <w:sz w:val="24"/>
                <w:szCs w:val="24"/>
                <w:rtl/>
                <w:lang w:bidi="ar-JO"/>
              </w:rPr>
              <w:t>ب) استخدام المال بشكل ذكي لتحقيق فائدة مستقبلية كالمساهمة في مشروع أو شراء أسهم بدلاً من إنفاقه على أمور مؤقتة</w:t>
            </w:r>
          </w:p>
        </w:tc>
        <w:tc>
          <w:tcPr>
            <w:tcW w:w="4483" w:type="dxa"/>
            <w:tcBorders/>
          </w:tcPr>
          <w:p w14:paraId="635DDFC0">
            <w:pPr>
              <w:pStyle w:val="style179"/>
              <w:bidi/>
              <w:ind w:left="0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b/>
                <w:bCs/>
                <w:sz w:val="24"/>
                <w:szCs w:val="24"/>
                <w:rtl/>
                <w:lang w:bidi="ar-JO"/>
              </w:rPr>
              <w:t xml:space="preserve">د) الحصول على القروض البنكية قصيرة الأجل </w:t>
            </w:r>
          </w:p>
        </w:tc>
      </w:tr>
    </w:tbl>
    <w:p w14:paraId="461E99B9">
      <w:pPr>
        <w:pStyle w:val="style179"/>
        <w:numPr>
          <w:ilvl w:val="0"/>
          <w:numId w:val="1"/>
        </w:numPr>
        <w:bidi/>
        <w:spacing w:before="240" w:after="0"/>
        <w:rPr>
          <w:b/>
          <w:bCs/>
          <w:sz w:val="24"/>
          <w:szCs w:val="24"/>
          <w:lang w:bidi="ar-JO"/>
        </w:rPr>
      </w:pPr>
      <w:r>
        <w:rPr>
          <w:b/>
          <w:bCs/>
          <w:sz w:val="24"/>
          <w:szCs w:val="24"/>
          <w:rtl/>
          <w:lang w:bidi="ar-JO"/>
        </w:rPr>
        <w:t>مفهوم "التخطيط المالي" يعني</w:t>
      </w:r>
      <w:r>
        <w:rPr>
          <w:b/>
          <w:bCs/>
          <w:sz w:val="24"/>
          <w:szCs w:val="24"/>
          <w:lang w:bidi="ar-JO"/>
        </w:rPr>
        <w:t>:</w:t>
      </w:r>
    </w:p>
    <w:tbl>
      <w:tblPr>
        <w:tblStyle w:val="style154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5148"/>
        <w:gridCol w:w="4483"/>
      </w:tblGrid>
      <w:tr w14:paraId="50CF7D22">
        <w:trPr/>
        <w:tc>
          <w:tcPr>
            <w:tcW w:w="5148" w:type="dxa"/>
            <w:tcBorders/>
          </w:tcPr>
          <w:p w14:paraId="325A142E">
            <w:pPr>
              <w:pStyle w:val="style179"/>
              <w:bidi/>
              <w:ind w:left="0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b/>
                <w:bCs/>
                <w:sz w:val="24"/>
                <w:szCs w:val="24"/>
                <w:rtl/>
                <w:lang w:bidi="ar-JO"/>
              </w:rPr>
              <w:t xml:space="preserve">أ) عشوائية الإنفاق وصرف الأموال بدون حدود </w:t>
            </w:r>
          </w:p>
        </w:tc>
        <w:tc>
          <w:tcPr>
            <w:tcW w:w="4483" w:type="dxa"/>
            <w:tcBorders/>
          </w:tcPr>
          <w:p w14:paraId="44C4E69A">
            <w:pPr>
              <w:pStyle w:val="style179"/>
              <w:bidi/>
              <w:ind w:left="0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b/>
                <w:bCs/>
                <w:sz w:val="24"/>
                <w:szCs w:val="24"/>
                <w:rtl/>
                <w:lang w:bidi="ar-JO"/>
              </w:rPr>
              <w:t xml:space="preserve">ج) الاعتماد الكامل على القروض لتغطية المتطلبات </w:t>
            </w:r>
          </w:p>
        </w:tc>
      </w:tr>
      <w:tr w14:paraId="30F8522D">
        <w:tblPrEx/>
        <w:trPr/>
        <w:tc>
          <w:tcPr>
            <w:tcW w:w="5148" w:type="dxa"/>
            <w:tcBorders/>
          </w:tcPr>
          <w:p w14:paraId="43005D5D">
            <w:pPr>
              <w:pStyle w:val="style179"/>
              <w:bidi/>
              <w:ind w:left="0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b/>
                <w:bCs/>
                <w:sz w:val="24"/>
                <w:szCs w:val="24"/>
                <w:rtl/>
                <w:lang w:bidi="ar-JO"/>
              </w:rPr>
              <w:t>ب) وضع خطة واضحة تُبيّن كيفية إنفاق المال وتوزيعه بطريقة ذكية ومتوازنة</w:t>
            </w:r>
          </w:p>
        </w:tc>
        <w:tc>
          <w:tcPr>
            <w:tcW w:w="4483" w:type="dxa"/>
            <w:tcBorders/>
          </w:tcPr>
          <w:p w14:paraId="000A94BA">
            <w:pPr>
              <w:pStyle w:val="style179"/>
              <w:bidi/>
              <w:ind w:left="0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b/>
                <w:bCs/>
                <w:sz w:val="24"/>
                <w:szCs w:val="24"/>
                <w:rtl/>
                <w:lang w:bidi="ar-JO"/>
              </w:rPr>
              <w:t>د) امتناع الفرد عن إنفاق أي جزء من دخله</w:t>
            </w:r>
          </w:p>
        </w:tc>
      </w:tr>
    </w:tbl>
    <w:p w14:paraId="1EEECBC7">
      <w:pPr>
        <w:pStyle w:val="style179"/>
        <w:numPr>
          <w:ilvl w:val="0"/>
          <w:numId w:val="1"/>
        </w:numPr>
        <w:bidi/>
        <w:spacing w:before="240" w:after="0"/>
        <w:rPr>
          <w:b/>
          <w:bCs/>
          <w:sz w:val="24"/>
          <w:szCs w:val="24"/>
          <w:lang w:bidi="ar-JO"/>
        </w:rPr>
      </w:pPr>
      <w:r>
        <w:rPr>
          <w:b/>
          <w:bCs/>
          <w:sz w:val="24"/>
          <w:szCs w:val="24"/>
          <w:rtl/>
          <w:lang w:bidi="ar-JO"/>
        </w:rPr>
        <w:t>أي من الآتي يُعد مثالاً على "الحاجات المادية" التي يمكن شراؤها بالمال؟</w:t>
      </w:r>
    </w:p>
    <w:tbl>
      <w:tblPr>
        <w:tblStyle w:val="style154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5148"/>
        <w:gridCol w:w="4483"/>
      </w:tblGrid>
      <w:tr w14:paraId="1D82838F">
        <w:trPr/>
        <w:tc>
          <w:tcPr>
            <w:tcW w:w="5148" w:type="dxa"/>
            <w:tcBorders/>
          </w:tcPr>
          <w:p w14:paraId="13224621">
            <w:pPr>
              <w:pStyle w:val="style179"/>
              <w:bidi/>
              <w:ind w:left="0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b/>
                <w:bCs/>
                <w:sz w:val="24"/>
                <w:szCs w:val="24"/>
                <w:rtl/>
                <w:lang w:bidi="ar-JO"/>
              </w:rPr>
              <w:t xml:space="preserve">أ) الصحة والوقاية من الأمراض </w:t>
            </w:r>
          </w:p>
        </w:tc>
        <w:tc>
          <w:tcPr>
            <w:tcW w:w="4483" w:type="dxa"/>
            <w:tcBorders/>
          </w:tcPr>
          <w:p w14:paraId="24E91976">
            <w:pPr>
              <w:pStyle w:val="style179"/>
              <w:bidi/>
              <w:ind w:left="0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b/>
                <w:bCs/>
                <w:sz w:val="24"/>
                <w:szCs w:val="24"/>
                <w:rtl/>
                <w:lang w:bidi="ar-JO"/>
              </w:rPr>
              <w:t xml:space="preserve">ج) الحب والاحترام والتقدير </w:t>
            </w:r>
          </w:p>
        </w:tc>
      </w:tr>
      <w:tr w14:paraId="6E15615E">
        <w:tblPrEx/>
        <w:trPr/>
        <w:tc>
          <w:tcPr>
            <w:tcW w:w="5148" w:type="dxa"/>
            <w:tcBorders/>
          </w:tcPr>
          <w:p w14:paraId="32FDC790">
            <w:pPr>
              <w:pStyle w:val="style179"/>
              <w:bidi/>
              <w:ind w:left="0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b/>
                <w:bCs/>
                <w:sz w:val="24"/>
                <w:szCs w:val="24"/>
                <w:rtl/>
                <w:lang w:bidi="ar-JO"/>
              </w:rPr>
              <w:t>ب) الطعام، الملابس، والمسكن</w:t>
            </w:r>
          </w:p>
        </w:tc>
        <w:tc>
          <w:tcPr>
            <w:tcW w:w="4483" w:type="dxa"/>
            <w:tcBorders/>
          </w:tcPr>
          <w:p w14:paraId="4CDDA525">
            <w:pPr>
              <w:pStyle w:val="style179"/>
              <w:bidi/>
              <w:ind w:left="0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b/>
                <w:bCs/>
                <w:sz w:val="24"/>
                <w:szCs w:val="24"/>
                <w:rtl/>
                <w:lang w:bidi="ar-JO"/>
              </w:rPr>
              <w:t xml:space="preserve">د) السعادة الحقيقية المستدامة </w:t>
            </w:r>
          </w:p>
        </w:tc>
      </w:tr>
    </w:tbl>
    <w:p w14:paraId="4DE366BF">
      <w:pPr>
        <w:pStyle w:val="style179"/>
        <w:numPr>
          <w:ilvl w:val="0"/>
          <w:numId w:val="1"/>
        </w:numPr>
        <w:bidi/>
        <w:spacing w:before="240" w:after="0"/>
        <w:rPr>
          <w:b/>
          <w:bCs/>
          <w:sz w:val="24"/>
          <w:szCs w:val="24"/>
          <w:lang w:bidi="ar-JO"/>
        </w:rPr>
      </w:pPr>
      <w:r>
        <w:rPr>
          <w:b/>
          <w:bCs/>
          <w:sz w:val="24"/>
          <w:szCs w:val="24"/>
          <w:rtl/>
          <w:lang w:bidi="ar-JO"/>
        </w:rPr>
        <w:t>يُعد التعليم والرعاية الصحية والمواصلات من أمثلة</w:t>
      </w:r>
      <w:r>
        <w:rPr>
          <w:b/>
          <w:bCs/>
          <w:sz w:val="24"/>
          <w:szCs w:val="24"/>
          <w:lang w:bidi="ar-JO"/>
        </w:rPr>
        <w:t>:</w:t>
      </w:r>
    </w:p>
    <w:tbl>
      <w:tblPr>
        <w:tblStyle w:val="style154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5148"/>
        <w:gridCol w:w="4483"/>
      </w:tblGrid>
      <w:tr w14:paraId="3698C444">
        <w:trPr/>
        <w:tc>
          <w:tcPr>
            <w:tcW w:w="5148" w:type="dxa"/>
            <w:tcBorders/>
          </w:tcPr>
          <w:p w14:paraId="3121AAE4">
            <w:pPr>
              <w:pStyle w:val="style179"/>
              <w:bidi/>
              <w:ind w:left="0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b/>
                <w:bCs/>
                <w:sz w:val="24"/>
                <w:szCs w:val="24"/>
                <w:rtl/>
                <w:lang w:bidi="ar-JO"/>
              </w:rPr>
              <w:t xml:space="preserve">أ) الخدمات التي يمكن شراؤها بالمال </w:t>
            </w:r>
          </w:p>
        </w:tc>
        <w:tc>
          <w:tcPr>
            <w:tcW w:w="4483" w:type="dxa"/>
            <w:tcBorders/>
          </w:tcPr>
          <w:p w14:paraId="73A5B189">
            <w:pPr>
              <w:pStyle w:val="style179"/>
              <w:bidi/>
              <w:ind w:left="0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b/>
                <w:bCs/>
                <w:sz w:val="24"/>
                <w:szCs w:val="24"/>
                <w:rtl/>
                <w:lang w:bidi="ar-JO"/>
              </w:rPr>
              <w:t xml:space="preserve">ج) الأشياء التي لا يمكن الحصول عليها بالمال </w:t>
            </w:r>
          </w:p>
        </w:tc>
      </w:tr>
      <w:tr w14:paraId="234D0F40">
        <w:tblPrEx/>
        <w:trPr/>
        <w:tc>
          <w:tcPr>
            <w:tcW w:w="5148" w:type="dxa"/>
            <w:tcBorders/>
          </w:tcPr>
          <w:p w14:paraId="1DAE22F9">
            <w:pPr>
              <w:pStyle w:val="style179"/>
              <w:bidi/>
              <w:ind w:left="0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b/>
                <w:bCs/>
                <w:sz w:val="24"/>
                <w:szCs w:val="24"/>
                <w:rtl/>
                <w:lang w:bidi="ar-JO"/>
              </w:rPr>
              <w:t>ب) السلع المادية الملموسة</w:t>
            </w:r>
          </w:p>
        </w:tc>
        <w:tc>
          <w:tcPr>
            <w:tcW w:w="4483" w:type="dxa"/>
            <w:tcBorders/>
          </w:tcPr>
          <w:p w14:paraId="3C805BC3">
            <w:pPr>
              <w:pStyle w:val="style179"/>
              <w:bidi/>
              <w:ind w:left="0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b/>
                <w:bCs/>
                <w:sz w:val="24"/>
                <w:szCs w:val="24"/>
                <w:rtl/>
                <w:lang w:bidi="ar-JO"/>
              </w:rPr>
              <w:t>د) الرغبات والكماليات الفائضة</w:t>
            </w:r>
          </w:p>
        </w:tc>
      </w:tr>
    </w:tbl>
    <w:p w14:paraId="3E6B6586">
      <w:pPr>
        <w:pStyle w:val="style179"/>
        <w:numPr>
          <w:ilvl w:val="0"/>
          <w:numId w:val="1"/>
        </w:numPr>
        <w:bidi/>
        <w:spacing w:before="240" w:after="0"/>
        <w:rPr>
          <w:b/>
          <w:bCs/>
          <w:sz w:val="24"/>
          <w:szCs w:val="24"/>
          <w:lang w:bidi="ar-JO"/>
        </w:rPr>
      </w:pPr>
      <w:r>
        <w:rPr>
          <w:b/>
          <w:bCs/>
          <w:sz w:val="24"/>
          <w:szCs w:val="24"/>
          <w:rtl/>
          <w:lang w:bidi="ar-JO"/>
        </w:rPr>
        <w:t>من الأمثلة على "الرغبات" (وليس الحاجات الأساسية</w:t>
      </w:r>
      <w:r>
        <w:rPr>
          <w:rFonts w:hint="cs"/>
          <w:b/>
          <w:bCs/>
          <w:sz w:val="24"/>
          <w:szCs w:val="24"/>
          <w:rtl/>
          <w:lang w:bidi="ar-JO"/>
        </w:rPr>
        <w:t>):</w:t>
      </w:r>
    </w:p>
    <w:tbl>
      <w:tblPr>
        <w:tblStyle w:val="style154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5148"/>
        <w:gridCol w:w="4483"/>
      </w:tblGrid>
      <w:tr w14:paraId="64E2CCA9">
        <w:trPr/>
        <w:tc>
          <w:tcPr>
            <w:tcW w:w="5148" w:type="dxa"/>
            <w:tcBorders/>
          </w:tcPr>
          <w:p w14:paraId="508F695D">
            <w:pPr>
              <w:pStyle w:val="style179"/>
              <w:bidi/>
              <w:ind w:left="0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b/>
                <w:bCs/>
                <w:sz w:val="24"/>
                <w:szCs w:val="24"/>
                <w:rtl/>
                <w:lang w:bidi="ar-JO"/>
              </w:rPr>
              <w:t xml:space="preserve">أ) الملبس والمسكن الأساسي </w:t>
            </w:r>
          </w:p>
        </w:tc>
        <w:tc>
          <w:tcPr>
            <w:tcW w:w="4483" w:type="dxa"/>
            <w:tcBorders/>
          </w:tcPr>
          <w:p w14:paraId="28C9E855">
            <w:pPr>
              <w:pStyle w:val="style179"/>
              <w:bidi/>
              <w:ind w:left="0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b/>
                <w:bCs/>
                <w:sz w:val="24"/>
                <w:szCs w:val="24"/>
                <w:rtl/>
                <w:lang w:bidi="ar-JO"/>
              </w:rPr>
              <w:t xml:space="preserve">ج) الهواتف الذكية الفارهة، السيارات الحديثة، والسفر للسياحة </w:t>
            </w:r>
          </w:p>
        </w:tc>
      </w:tr>
      <w:tr w14:paraId="236BD454">
        <w:tblPrEx/>
        <w:trPr>
          <w:trHeight w:val="323" w:hRule="atLeast"/>
        </w:trPr>
        <w:tc>
          <w:tcPr>
            <w:tcW w:w="5148" w:type="dxa"/>
            <w:tcBorders/>
          </w:tcPr>
          <w:p w14:paraId="6BD249AE">
            <w:pPr>
              <w:pStyle w:val="style179"/>
              <w:bidi/>
              <w:ind w:left="0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b/>
                <w:bCs/>
                <w:sz w:val="24"/>
                <w:szCs w:val="24"/>
                <w:rtl/>
                <w:lang w:bidi="ar-JO"/>
              </w:rPr>
              <w:t>ب) العلاج الطبي والرعاية الصحية</w:t>
            </w:r>
          </w:p>
        </w:tc>
        <w:tc>
          <w:tcPr>
            <w:tcW w:w="4483" w:type="dxa"/>
            <w:tcBorders/>
          </w:tcPr>
          <w:p w14:paraId="7D6193B0">
            <w:pPr>
              <w:pStyle w:val="style179"/>
              <w:bidi/>
              <w:ind w:left="0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b/>
                <w:bCs/>
                <w:sz w:val="24"/>
                <w:szCs w:val="24"/>
                <w:rtl/>
                <w:lang w:bidi="ar-JO"/>
              </w:rPr>
              <w:t>د) الغذاء اليومي الضروري</w:t>
            </w:r>
          </w:p>
        </w:tc>
      </w:tr>
    </w:tbl>
    <w:p w14:paraId="7D8D529A">
      <w:pPr>
        <w:pStyle w:val="style179"/>
        <w:numPr>
          <w:ilvl w:val="0"/>
          <w:numId w:val="1"/>
        </w:numPr>
        <w:bidi/>
        <w:spacing w:before="240" w:after="0"/>
        <w:rPr>
          <w:b/>
          <w:bCs/>
          <w:sz w:val="24"/>
          <w:szCs w:val="24"/>
          <w:lang w:bidi="ar-JO"/>
        </w:rPr>
      </w:pPr>
      <w:r>
        <w:rPr>
          <w:b/>
          <w:bCs/>
          <w:sz w:val="24"/>
          <w:szCs w:val="24"/>
          <w:rtl/>
          <w:lang w:bidi="ar-JO"/>
        </w:rPr>
        <w:t>أي مما يلي يُصنّف ضمن الأمور التي "لا يُمكن شراؤها بالمال"؟</w:t>
      </w:r>
    </w:p>
    <w:tbl>
      <w:tblPr>
        <w:tblStyle w:val="style154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5148"/>
        <w:gridCol w:w="4483"/>
      </w:tblGrid>
      <w:tr w14:paraId="54B52D79">
        <w:trPr/>
        <w:tc>
          <w:tcPr>
            <w:tcW w:w="5148" w:type="dxa"/>
            <w:tcBorders/>
          </w:tcPr>
          <w:p w14:paraId="4C17C9E8">
            <w:pPr>
              <w:pStyle w:val="style179"/>
              <w:bidi/>
              <w:ind w:left="0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b/>
                <w:bCs/>
                <w:sz w:val="24"/>
                <w:szCs w:val="24"/>
                <w:rtl/>
                <w:lang w:bidi="ar-JO"/>
              </w:rPr>
              <w:t xml:space="preserve">أ) خدمات التعليم في المدارس </w:t>
            </w:r>
          </w:p>
        </w:tc>
        <w:tc>
          <w:tcPr>
            <w:tcW w:w="4483" w:type="dxa"/>
            <w:tcBorders/>
          </w:tcPr>
          <w:p w14:paraId="47A9B5ED">
            <w:pPr>
              <w:pStyle w:val="style179"/>
              <w:bidi/>
              <w:ind w:left="0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b/>
                <w:bCs/>
                <w:sz w:val="24"/>
                <w:szCs w:val="24"/>
                <w:rtl/>
                <w:lang w:bidi="ar-JO"/>
              </w:rPr>
              <w:t xml:space="preserve">ج) الفحوصات الطبية والأدوية </w:t>
            </w:r>
          </w:p>
        </w:tc>
      </w:tr>
      <w:tr w14:paraId="3D871DA0">
        <w:tblPrEx/>
        <w:trPr/>
        <w:tc>
          <w:tcPr>
            <w:tcW w:w="5148" w:type="dxa"/>
            <w:tcBorders/>
          </w:tcPr>
          <w:p w14:paraId="459E55C5">
            <w:pPr>
              <w:pStyle w:val="style179"/>
              <w:bidi/>
              <w:ind w:left="0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b/>
                <w:bCs/>
                <w:sz w:val="24"/>
                <w:szCs w:val="24"/>
                <w:rtl/>
                <w:lang w:bidi="ar-JO"/>
              </w:rPr>
              <w:t>ب) العلاقات الإنسانية الحقيقية القائمة على المودة والمشاعر</w:t>
            </w:r>
          </w:p>
        </w:tc>
        <w:tc>
          <w:tcPr>
            <w:tcW w:w="4483" w:type="dxa"/>
            <w:tcBorders/>
          </w:tcPr>
          <w:p w14:paraId="664D4619">
            <w:pPr>
              <w:pStyle w:val="style179"/>
              <w:bidi/>
              <w:ind w:left="0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b/>
                <w:bCs/>
                <w:sz w:val="24"/>
                <w:szCs w:val="24"/>
                <w:rtl/>
                <w:lang w:bidi="ar-JO"/>
              </w:rPr>
              <w:t>د) وسائط النقل والمواصلات</w:t>
            </w:r>
          </w:p>
        </w:tc>
      </w:tr>
    </w:tbl>
    <w:p w14:paraId="2E1EB58B">
      <w:pPr>
        <w:pStyle w:val="style179"/>
        <w:bidi/>
        <w:spacing w:before="240" w:after="0"/>
        <w:jc w:val="right"/>
        <w:rPr>
          <w:b/>
          <w:bCs/>
          <w:sz w:val="24"/>
          <w:szCs w:val="24"/>
          <w:lang w:bidi="ar-JO"/>
        </w:rPr>
      </w:pPr>
      <w:r>
        <w:rPr>
          <w:rFonts w:hint="cs"/>
          <w:b/>
          <w:bCs/>
          <w:sz w:val="24"/>
          <w:szCs w:val="24"/>
          <w:rtl/>
          <w:lang w:bidi="ar-JO"/>
        </w:rPr>
        <w:t>يتبع الصفحة الثالثة...</w:t>
      </w:r>
    </w:p>
    <w:p w14:paraId="796418CF">
      <w:pPr>
        <w:pStyle w:val="style179"/>
        <w:numPr>
          <w:ilvl w:val="0"/>
          <w:numId w:val="1"/>
        </w:numPr>
        <w:bidi/>
        <w:spacing w:before="240" w:after="0"/>
        <w:rPr>
          <w:b/>
          <w:bCs/>
          <w:sz w:val="24"/>
          <w:szCs w:val="24"/>
          <w:lang w:bidi="ar-JO"/>
        </w:rPr>
      </w:pPr>
      <w:r>
        <w:rPr>
          <w:b/>
          <w:bCs/>
          <w:sz w:val="24"/>
          <w:szCs w:val="24"/>
          <w:rtl/>
          <w:lang w:bidi="ar-JO"/>
        </w:rPr>
        <w:t>الآية الكريمة: ﴿وَالَّذِينَ إِذَا أَنفَقُوا لَمْ يُسْرِفُوا وَلَمْ يَقْتُرُوا وَكَانَ بَيْنَ ذَٰلِكَ قَوَامًا﴾ تحث على</w:t>
      </w:r>
      <w:r>
        <w:rPr>
          <w:b/>
          <w:bCs/>
          <w:sz w:val="24"/>
          <w:szCs w:val="24"/>
          <w:lang w:bidi="ar-JO"/>
        </w:rPr>
        <w:t>:</w:t>
      </w:r>
    </w:p>
    <w:tbl>
      <w:tblPr>
        <w:tblStyle w:val="style154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5148"/>
        <w:gridCol w:w="4483"/>
      </w:tblGrid>
      <w:tr w14:paraId="37040BC6">
        <w:trPr/>
        <w:tc>
          <w:tcPr>
            <w:tcW w:w="5148" w:type="dxa"/>
            <w:tcBorders/>
          </w:tcPr>
          <w:p w14:paraId="72554C3F">
            <w:pPr>
              <w:pStyle w:val="style179"/>
              <w:bidi/>
              <w:ind w:left="0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b/>
                <w:bCs/>
                <w:sz w:val="24"/>
                <w:szCs w:val="24"/>
                <w:rtl/>
                <w:lang w:bidi="ar-JO"/>
              </w:rPr>
              <w:t xml:space="preserve">أ) الإسراف والتبذير في شراء الكماليات </w:t>
            </w:r>
          </w:p>
        </w:tc>
        <w:tc>
          <w:tcPr>
            <w:tcW w:w="4483" w:type="dxa"/>
            <w:tcBorders/>
          </w:tcPr>
          <w:p w14:paraId="4D5AFF61">
            <w:pPr>
              <w:pStyle w:val="style179"/>
              <w:bidi/>
              <w:ind w:left="0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b/>
                <w:bCs/>
                <w:sz w:val="24"/>
                <w:szCs w:val="24"/>
                <w:rtl/>
                <w:lang w:bidi="ar-JO"/>
              </w:rPr>
              <w:t xml:space="preserve">ج) البخل الشديد وعدم الإنفاق على الحاجات </w:t>
            </w:r>
          </w:p>
        </w:tc>
      </w:tr>
      <w:tr w14:paraId="7B24C966">
        <w:tblPrEx/>
        <w:trPr/>
        <w:tc>
          <w:tcPr>
            <w:tcW w:w="5148" w:type="dxa"/>
            <w:tcBorders/>
          </w:tcPr>
          <w:p w14:paraId="3144751C">
            <w:pPr>
              <w:pStyle w:val="style179"/>
              <w:bidi/>
              <w:ind w:left="0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b/>
                <w:bCs/>
                <w:sz w:val="24"/>
                <w:szCs w:val="24"/>
                <w:rtl/>
                <w:lang w:bidi="ar-JO"/>
              </w:rPr>
              <w:t>ب) الاعتدال والتوازن في الإنفاق</w:t>
            </w:r>
          </w:p>
        </w:tc>
        <w:tc>
          <w:tcPr>
            <w:tcW w:w="4483" w:type="dxa"/>
            <w:tcBorders/>
          </w:tcPr>
          <w:p w14:paraId="2A4D8645">
            <w:pPr>
              <w:pStyle w:val="style179"/>
              <w:bidi/>
              <w:ind w:left="0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b/>
                <w:bCs/>
                <w:sz w:val="24"/>
                <w:szCs w:val="24"/>
                <w:rtl/>
                <w:lang w:bidi="ar-JO"/>
              </w:rPr>
              <w:t xml:space="preserve">د) الاقتراض المستمر لتلبية الرغبات </w:t>
            </w:r>
          </w:p>
        </w:tc>
      </w:tr>
    </w:tbl>
    <w:p w14:paraId="6147E8E9">
      <w:pPr>
        <w:pStyle w:val="style179"/>
        <w:numPr>
          <w:ilvl w:val="0"/>
          <w:numId w:val="1"/>
        </w:numPr>
        <w:bidi/>
        <w:spacing w:before="240" w:after="0"/>
        <w:rPr>
          <w:b/>
          <w:bCs/>
          <w:sz w:val="24"/>
          <w:szCs w:val="24"/>
          <w:lang w:bidi="ar-JO"/>
        </w:rPr>
      </w:pPr>
      <w:r>
        <w:rPr>
          <w:b/>
          <w:bCs/>
          <w:sz w:val="24"/>
          <w:szCs w:val="24"/>
          <w:rtl/>
          <w:lang w:bidi="ar-JO"/>
        </w:rPr>
        <w:t>النظرة الصحيحة للمال وفق المفاهيم المالية هي أن المال</w:t>
      </w:r>
      <w:r>
        <w:rPr>
          <w:b/>
          <w:bCs/>
          <w:sz w:val="24"/>
          <w:szCs w:val="24"/>
          <w:lang w:bidi="ar-JO"/>
        </w:rPr>
        <w:t>:</w:t>
      </w:r>
    </w:p>
    <w:tbl>
      <w:tblPr>
        <w:tblStyle w:val="style154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5148"/>
        <w:gridCol w:w="4483"/>
      </w:tblGrid>
      <w:tr w14:paraId="47C2ABCF">
        <w:trPr/>
        <w:tc>
          <w:tcPr>
            <w:tcW w:w="5148" w:type="dxa"/>
            <w:tcBorders/>
          </w:tcPr>
          <w:p w14:paraId="7DF3F3E4">
            <w:pPr>
              <w:pStyle w:val="style179"/>
              <w:bidi/>
              <w:ind w:left="0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b/>
                <w:bCs/>
                <w:sz w:val="24"/>
                <w:szCs w:val="24"/>
                <w:rtl/>
                <w:lang w:bidi="ar-JO"/>
              </w:rPr>
              <w:t xml:space="preserve">أ) غاية بحد ذاته يسعى الإنسان لجمعه فقط </w:t>
            </w:r>
          </w:p>
        </w:tc>
        <w:tc>
          <w:tcPr>
            <w:tcW w:w="4483" w:type="dxa"/>
            <w:tcBorders/>
          </w:tcPr>
          <w:p w14:paraId="12E073AF">
            <w:pPr>
              <w:pStyle w:val="style179"/>
              <w:bidi/>
              <w:ind w:left="0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b/>
                <w:bCs/>
                <w:sz w:val="24"/>
                <w:szCs w:val="24"/>
                <w:rtl/>
                <w:lang w:bidi="ar-JO"/>
              </w:rPr>
              <w:t xml:space="preserve">ج) أمر سلبي يجب التخلي عنه بالكامل </w:t>
            </w:r>
          </w:p>
        </w:tc>
      </w:tr>
      <w:tr w14:paraId="7191718C">
        <w:tblPrEx/>
        <w:trPr/>
        <w:tc>
          <w:tcPr>
            <w:tcW w:w="5148" w:type="dxa"/>
            <w:tcBorders/>
          </w:tcPr>
          <w:p w14:paraId="1245F6A0">
            <w:pPr>
              <w:pStyle w:val="style179"/>
              <w:bidi/>
              <w:ind w:left="0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b/>
                <w:bCs/>
                <w:sz w:val="24"/>
                <w:szCs w:val="24"/>
                <w:rtl/>
                <w:lang w:bidi="ar-JO"/>
              </w:rPr>
              <w:t>ب) وسيلة وليس غاية، وهو أدوات تساعد في تحقيق الاستقرار والرفاهية</w:t>
            </w:r>
          </w:p>
        </w:tc>
        <w:tc>
          <w:tcPr>
            <w:tcW w:w="4483" w:type="dxa"/>
            <w:tcBorders/>
          </w:tcPr>
          <w:p w14:paraId="2113041C">
            <w:pPr>
              <w:pStyle w:val="style179"/>
              <w:bidi/>
              <w:ind w:left="0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b/>
                <w:bCs/>
                <w:sz w:val="24"/>
                <w:szCs w:val="24"/>
                <w:rtl/>
                <w:lang w:bidi="ar-JO"/>
              </w:rPr>
              <w:t>د) المقياس الوحيد لقيمة الإنسان الأخلاقية</w:t>
            </w:r>
          </w:p>
        </w:tc>
      </w:tr>
    </w:tbl>
    <w:p w14:paraId="7F568194">
      <w:pPr>
        <w:pStyle w:val="style179"/>
        <w:numPr>
          <w:ilvl w:val="0"/>
          <w:numId w:val="1"/>
        </w:numPr>
        <w:bidi/>
        <w:spacing w:before="240" w:after="0"/>
        <w:rPr>
          <w:b/>
          <w:bCs/>
          <w:sz w:val="24"/>
          <w:szCs w:val="24"/>
          <w:lang w:bidi="ar-JO"/>
        </w:rPr>
      </w:pPr>
      <w:r>
        <w:rPr>
          <w:b/>
          <w:bCs/>
          <w:sz w:val="24"/>
          <w:szCs w:val="24"/>
          <w:rtl/>
          <w:lang w:bidi="ar-JO"/>
        </w:rPr>
        <w:t>تتجلى أهمية المال في "تلبية حاجات الأفراد" من خلال</w:t>
      </w:r>
      <w:r>
        <w:rPr>
          <w:b/>
          <w:bCs/>
          <w:sz w:val="24"/>
          <w:szCs w:val="24"/>
          <w:lang w:bidi="ar-JO"/>
        </w:rPr>
        <w:t>:</w:t>
      </w:r>
    </w:p>
    <w:tbl>
      <w:tblPr>
        <w:tblStyle w:val="style154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5148"/>
        <w:gridCol w:w="4483"/>
      </w:tblGrid>
      <w:tr w14:paraId="334080F4">
        <w:trPr/>
        <w:tc>
          <w:tcPr>
            <w:tcW w:w="5148" w:type="dxa"/>
            <w:tcBorders/>
          </w:tcPr>
          <w:p w14:paraId="701111E2">
            <w:pPr>
              <w:pStyle w:val="style179"/>
              <w:bidi/>
              <w:ind w:left="0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b/>
                <w:bCs/>
                <w:sz w:val="24"/>
                <w:szCs w:val="24"/>
                <w:rtl/>
                <w:lang w:bidi="ar-JO"/>
              </w:rPr>
              <w:t xml:space="preserve">أ) توفير السلع الأساسية والخدمات مثل الصحة والتعليم والرفاهية </w:t>
            </w:r>
          </w:p>
        </w:tc>
        <w:tc>
          <w:tcPr>
            <w:tcW w:w="4483" w:type="dxa"/>
            <w:tcBorders/>
          </w:tcPr>
          <w:p w14:paraId="59E7F8CC">
            <w:pPr>
              <w:pStyle w:val="style179"/>
              <w:bidi/>
              <w:ind w:left="0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b/>
                <w:bCs/>
                <w:sz w:val="24"/>
                <w:szCs w:val="24"/>
                <w:rtl/>
                <w:lang w:bidi="ar-JO"/>
              </w:rPr>
              <w:t xml:space="preserve">ج) الاقتصار على شراء الكماليات والرغبات فقط </w:t>
            </w:r>
          </w:p>
        </w:tc>
      </w:tr>
      <w:tr w14:paraId="5EE21F3C">
        <w:tblPrEx/>
        <w:trPr/>
        <w:tc>
          <w:tcPr>
            <w:tcW w:w="5148" w:type="dxa"/>
            <w:tcBorders/>
          </w:tcPr>
          <w:p w14:paraId="4C9FD81F">
            <w:pPr>
              <w:pStyle w:val="style179"/>
              <w:bidi/>
              <w:ind w:left="0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b/>
                <w:bCs/>
                <w:sz w:val="24"/>
                <w:szCs w:val="24"/>
                <w:rtl/>
                <w:lang w:bidi="ar-JO"/>
              </w:rPr>
              <w:t>ب) التوقف التام عن الادخار والاستثمار</w:t>
            </w:r>
          </w:p>
        </w:tc>
        <w:tc>
          <w:tcPr>
            <w:tcW w:w="4483" w:type="dxa"/>
            <w:tcBorders/>
          </w:tcPr>
          <w:p w14:paraId="2B33020B">
            <w:pPr>
              <w:pStyle w:val="style179"/>
              <w:bidi/>
              <w:ind w:left="0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b/>
                <w:bCs/>
                <w:sz w:val="24"/>
                <w:szCs w:val="24"/>
                <w:rtl/>
                <w:lang w:bidi="ar-JO"/>
              </w:rPr>
              <w:t>د) منع إقامة أي مشاريع فردية</w:t>
            </w:r>
          </w:p>
        </w:tc>
      </w:tr>
    </w:tbl>
    <w:p w14:paraId="4E2FB00E">
      <w:pPr>
        <w:pStyle w:val="style179"/>
        <w:numPr>
          <w:ilvl w:val="0"/>
          <w:numId w:val="1"/>
        </w:numPr>
        <w:bidi/>
        <w:spacing w:before="240" w:after="0"/>
        <w:rPr>
          <w:b/>
          <w:bCs/>
          <w:sz w:val="24"/>
          <w:szCs w:val="24"/>
          <w:lang w:bidi="ar-JO"/>
        </w:rPr>
      </w:pPr>
      <w:r>
        <w:rPr>
          <w:b/>
          <w:bCs/>
          <w:sz w:val="24"/>
          <w:szCs w:val="24"/>
          <w:rtl/>
          <w:lang w:bidi="ar-JO"/>
        </w:rPr>
        <w:t>يُساهم المال في "تلبية حاجات المجتمع" وتنميته عن طريق</w:t>
      </w:r>
      <w:r>
        <w:rPr>
          <w:b/>
          <w:bCs/>
          <w:sz w:val="24"/>
          <w:szCs w:val="24"/>
          <w:lang w:bidi="ar-JO"/>
        </w:rPr>
        <w:t>:</w:t>
      </w:r>
    </w:p>
    <w:tbl>
      <w:tblPr>
        <w:tblStyle w:val="style154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5148"/>
        <w:gridCol w:w="4483"/>
      </w:tblGrid>
      <w:tr w14:paraId="533051B1">
        <w:trPr/>
        <w:tc>
          <w:tcPr>
            <w:tcW w:w="5148" w:type="dxa"/>
            <w:tcBorders/>
          </w:tcPr>
          <w:p w14:paraId="76B655BC">
            <w:pPr>
              <w:pStyle w:val="style179"/>
              <w:bidi/>
              <w:ind w:left="0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b/>
                <w:bCs/>
                <w:sz w:val="24"/>
                <w:szCs w:val="24"/>
                <w:rtl/>
                <w:lang w:bidi="ar-JO"/>
              </w:rPr>
              <w:t xml:space="preserve">أ) دعم التعليم، تقديم الرعاية الصحية، تمويل المشروعات، وتوفير فرص العمل </w:t>
            </w:r>
          </w:p>
        </w:tc>
        <w:tc>
          <w:tcPr>
            <w:tcW w:w="4483" w:type="dxa"/>
            <w:tcBorders/>
          </w:tcPr>
          <w:p w14:paraId="4C0411EB">
            <w:pPr>
              <w:pStyle w:val="style179"/>
              <w:bidi/>
              <w:ind w:left="0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b/>
                <w:bCs/>
                <w:sz w:val="24"/>
                <w:szCs w:val="24"/>
                <w:rtl/>
                <w:lang w:bidi="ar-JO"/>
              </w:rPr>
              <w:t xml:space="preserve">ج) منع الأفراد من الاستثمار في المشاريع التجارية </w:t>
            </w:r>
          </w:p>
        </w:tc>
      </w:tr>
      <w:tr w14:paraId="4EBC1773">
        <w:tblPrEx/>
        <w:trPr/>
        <w:tc>
          <w:tcPr>
            <w:tcW w:w="5148" w:type="dxa"/>
            <w:tcBorders/>
          </w:tcPr>
          <w:p w14:paraId="7FBACDA9">
            <w:pPr>
              <w:pStyle w:val="style179"/>
              <w:bidi/>
              <w:ind w:left="0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b/>
                <w:bCs/>
                <w:sz w:val="24"/>
                <w:szCs w:val="24"/>
                <w:rtl/>
                <w:lang w:bidi="ar-JO"/>
              </w:rPr>
              <w:t>ب) تقليل فرص العمل وزيادة نسبة البطالة</w:t>
            </w:r>
          </w:p>
        </w:tc>
        <w:tc>
          <w:tcPr>
            <w:tcW w:w="4483" w:type="dxa"/>
            <w:tcBorders/>
          </w:tcPr>
          <w:p w14:paraId="3C70CED8">
            <w:pPr>
              <w:pStyle w:val="style179"/>
              <w:bidi/>
              <w:ind w:left="0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b/>
                <w:bCs/>
                <w:sz w:val="24"/>
                <w:szCs w:val="24"/>
                <w:rtl/>
                <w:lang w:bidi="ar-JO"/>
              </w:rPr>
              <w:t>د) حصر التعاملات بالنظام السلعي القديم</w:t>
            </w:r>
          </w:p>
        </w:tc>
      </w:tr>
    </w:tbl>
    <w:p w14:paraId="19C5323D">
      <w:pPr>
        <w:pStyle w:val="style179"/>
        <w:numPr>
          <w:ilvl w:val="0"/>
          <w:numId w:val="1"/>
        </w:numPr>
        <w:bidi/>
        <w:spacing w:before="240" w:after="0"/>
        <w:rPr>
          <w:b/>
          <w:bCs/>
          <w:sz w:val="24"/>
          <w:szCs w:val="24"/>
          <w:lang w:bidi="ar-JO"/>
        </w:rPr>
      </w:pPr>
      <w:r>
        <w:rPr>
          <w:b/>
          <w:bCs/>
          <w:sz w:val="24"/>
          <w:szCs w:val="24"/>
          <w:rtl/>
          <w:lang w:bidi="ar-JO"/>
        </w:rPr>
        <w:t>من الأمثلة على دور المال في "تلبية حاجات المجتمع" وتنميته</w:t>
      </w:r>
      <w:r>
        <w:rPr>
          <w:b/>
          <w:bCs/>
          <w:sz w:val="24"/>
          <w:szCs w:val="24"/>
          <w:lang w:bidi="ar-JO"/>
        </w:rPr>
        <w:t>:</w:t>
      </w:r>
    </w:p>
    <w:tbl>
      <w:tblPr>
        <w:tblStyle w:val="style154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5148"/>
        <w:gridCol w:w="4483"/>
      </w:tblGrid>
      <w:tr w14:paraId="4DB4D4D3">
        <w:trPr/>
        <w:tc>
          <w:tcPr>
            <w:tcW w:w="5148" w:type="dxa"/>
            <w:tcBorders/>
          </w:tcPr>
          <w:p w14:paraId="4757F2C7">
            <w:pPr>
              <w:pStyle w:val="style179"/>
              <w:bidi/>
              <w:ind w:left="0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b/>
                <w:bCs/>
                <w:sz w:val="24"/>
                <w:szCs w:val="24"/>
                <w:rtl/>
                <w:lang w:bidi="ar-JO"/>
              </w:rPr>
              <w:t xml:space="preserve">أ) تشجيع الابتكار والتكنولوجيا وتطوير وسائل التعليم والخدمات </w:t>
            </w:r>
          </w:p>
        </w:tc>
        <w:tc>
          <w:tcPr>
            <w:tcW w:w="4483" w:type="dxa"/>
            <w:tcBorders/>
          </w:tcPr>
          <w:p w14:paraId="14098EB8">
            <w:pPr>
              <w:pStyle w:val="style179"/>
              <w:bidi/>
              <w:ind w:left="0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b/>
                <w:bCs/>
                <w:sz w:val="24"/>
                <w:szCs w:val="24"/>
                <w:rtl/>
                <w:lang w:bidi="ar-JO"/>
              </w:rPr>
              <w:t xml:space="preserve">ج) حصر استخدام المال في الشراء الشخصي اليومي فقط </w:t>
            </w:r>
          </w:p>
        </w:tc>
      </w:tr>
      <w:tr w14:paraId="4C9C44ED">
        <w:tblPrEx/>
        <w:trPr/>
        <w:tc>
          <w:tcPr>
            <w:tcW w:w="5148" w:type="dxa"/>
            <w:tcBorders/>
          </w:tcPr>
          <w:p w14:paraId="2D559465">
            <w:pPr>
              <w:pStyle w:val="style179"/>
              <w:bidi/>
              <w:ind w:left="0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b/>
                <w:bCs/>
                <w:sz w:val="24"/>
                <w:szCs w:val="24"/>
                <w:rtl/>
                <w:lang w:bidi="ar-JO"/>
              </w:rPr>
              <w:t>ب) الاقتصار على شراء الهواتف الذكية والسيارات الفارهة للأفراد</w:t>
            </w:r>
          </w:p>
        </w:tc>
        <w:tc>
          <w:tcPr>
            <w:tcW w:w="4483" w:type="dxa"/>
            <w:tcBorders/>
          </w:tcPr>
          <w:p w14:paraId="472AB631">
            <w:pPr>
              <w:pStyle w:val="style179"/>
              <w:bidi/>
              <w:ind w:left="0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b/>
                <w:bCs/>
                <w:sz w:val="24"/>
                <w:szCs w:val="24"/>
                <w:rtl/>
                <w:lang w:bidi="ar-JO"/>
              </w:rPr>
              <w:t>د) إلغاء المشاريع الاستثمارية ومنع التبرع للجمعيات الخيرية</w:t>
            </w:r>
          </w:p>
        </w:tc>
      </w:tr>
    </w:tbl>
    <w:p w14:paraId="62577698">
      <w:pPr>
        <w:pStyle w:val="style179"/>
        <w:numPr>
          <w:ilvl w:val="0"/>
          <w:numId w:val="1"/>
        </w:numPr>
        <w:bidi/>
        <w:spacing w:before="240" w:after="0"/>
        <w:rPr>
          <w:b/>
          <w:bCs/>
          <w:sz w:val="24"/>
          <w:szCs w:val="24"/>
          <w:lang w:bidi="ar-JO"/>
        </w:rPr>
      </w:pPr>
      <w:r>
        <w:rPr>
          <w:b/>
          <w:bCs/>
          <w:sz w:val="24"/>
          <w:szCs w:val="24"/>
          <w:rtl/>
          <w:lang w:bidi="ar-JO"/>
        </w:rPr>
        <w:t>أهمية التوصل إلى "الأمان المالي" تمكن الفرد من</w:t>
      </w:r>
      <w:r>
        <w:rPr>
          <w:b/>
          <w:bCs/>
          <w:sz w:val="24"/>
          <w:szCs w:val="24"/>
          <w:lang w:bidi="ar-JO"/>
        </w:rPr>
        <w:t>:</w:t>
      </w:r>
    </w:p>
    <w:tbl>
      <w:tblPr>
        <w:tblStyle w:val="style154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5148"/>
        <w:gridCol w:w="4483"/>
      </w:tblGrid>
      <w:tr w14:paraId="13E288A2">
        <w:trPr/>
        <w:tc>
          <w:tcPr>
            <w:tcW w:w="5148" w:type="dxa"/>
            <w:tcBorders/>
          </w:tcPr>
          <w:p w14:paraId="22AEAA63">
            <w:pPr>
              <w:pStyle w:val="style179"/>
              <w:bidi/>
              <w:ind w:left="0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b/>
                <w:bCs/>
                <w:sz w:val="24"/>
                <w:szCs w:val="24"/>
                <w:rtl/>
                <w:lang w:bidi="ar-JO"/>
              </w:rPr>
              <w:t xml:space="preserve">أ) الشعور بالاطمئنان وتقليل التوتر ومواجهة التحديات والظروف الطارئة </w:t>
            </w:r>
          </w:p>
        </w:tc>
        <w:tc>
          <w:tcPr>
            <w:tcW w:w="4483" w:type="dxa"/>
            <w:tcBorders/>
          </w:tcPr>
          <w:p w14:paraId="21CB6B5D">
            <w:pPr>
              <w:pStyle w:val="style179"/>
              <w:bidi/>
              <w:ind w:left="0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b/>
                <w:bCs/>
                <w:sz w:val="24"/>
                <w:szCs w:val="24"/>
                <w:rtl/>
                <w:lang w:bidi="ar-JO"/>
              </w:rPr>
              <w:t xml:space="preserve">ج) التوقف عن العمل والإنتاج نهائياً </w:t>
            </w:r>
          </w:p>
        </w:tc>
      </w:tr>
      <w:tr w14:paraId="48EDC04B">
        <w:tblPrEx/>
        <w:trPr/>
        <w:tc>
          <w:tcPr>
            <w:tcW w:w="5148" w:type="dxa"/>
            <w:tcBorders/>
          </w:tcPr>
          <w:p w14:paraId="74A06B04">
            <w:pPr>
              <w:pStyle w:val="style179"/>
              <w:bidi/>
              <w:ind w:left="0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b/>
                <w:bCs/>
                <w:sz w:val="24"/>
                <w:szCs w:val="24"/>
                <w:rtl/>
                <w:lang w:bidi="ar-JO"/>
              </w:rPr>
              <w:t>ب) زيادة القلق المستمر بشأن المستقبل</w:t>
            </w:r>
          </w:p>
        </w:tc>
        <w:tc>
          <w:tcPr>
            <w:tcW w:w="4483" w:type="dxa"/>
            <w:tcBorders/>
          </w:tcPr>
          <w:p w14:paraId="4936732F">
            <w:pPr>
              <w:pStyle w:val="style179"/>
              <w:bidi/>
              <w:ind w:left="0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b/>
                <w:bCs/>
                <w:sz w:val="24"/>
                <w:szCs w:val="24"/>
                <w:rtl/>
                <w:lang w:bidi="ar-JO"/>
              </w:rPr>
              <w:t xml:space="preserve">د) التخلي عن التخطيط المالي والادخار </w:t>
            </w:r>
          </w:p>
        </w:tc>
      </w:tr>
    </w:tbl>
    <w:p w14:paraId="6E98BBD3">
      <w:pPr>
        <w:pStyle w:val="style179"/>
        <w:numPr>
          <w:ilvl w:val="0"/>
          <w:numId w:val="1"/>
        </w:numPr>
        <w:bidi/>
        <w:spacing w:before="240" w:after="0"/>
        <w:rPr>
          <w:b/>
          <w:bCs/>
          <w:sz w:val="24"/>
          <w:szCs w:val="24"/>
          <w:lang w:bidi="ar-JO"/>
        </w:rPr>
      </w:pPr>
      <w:r>
        <w:rPr>
          <w:b/>
          <w:bCs/>
          <w:sz w:val="24"/>
          <w:szCs w:val="24"/>
          <w:rtl/>
          <w:lang w:bidi="ar-JO"/>
        </w:rPr>
        <w:t>يُساهم تحسين الوضع الاقتصادي بفضل الاستثمار المالي في</w:t>
      </w:r>
      <w:r>
        <w:rPr>
          <w:b/>
          <w:bCs/>
          <w:sz w:val="24"/>
          <w:szCs w:val="24"/>
          <w:lang w:bidi="ar-JO"/>
        </w:rPr>
        <w:t>:</w:t>
      </w:r>
    </w:p>
    <w:tbl>
      <w:tblPr>
        <w:tblStyle w:val="style154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5148"/>
        <w:gridCol w:w="4483"/>
      </w:tblGrid>
      <w:tr w14:paraId="4B62D5D6">
        <w:trPr/>
        <w:tc>
          <w:tcPr>
            <w:tcW w:w="5148" w:type="dxa"/>
            <w:tcBorders/>
          </w:tcPr>
          <w:p w14:paraId="067DFBCD">
            <w:pPr>
              <w:pStyle w:val="style179"/>
              <w:bidi/>
              <w:ind w:left="0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b/>
                <w:bCs/>
                <w:sz w:val="24"/>
                <w:szCs w:val="24"/>
                <w:rtl/>
                <w:lang w:bidi="ar-JO"/>
              </w:rPr>
              <w:t xml:space="preserve">أ) زيادة الإنتاجية وتعزيز الاستثمارات للأفراد والشركات </w:t>
            </w:r>
          </w:p>
        </w:tc>
        <w:tc>
          <w:tcPr>
            <w:tcW w:w="4483" w:type="dxa"/>
            <w:tcBorders/>
          </w:tcPr>
          <w:p w14:paraId="2A319661">
            <w:pPr>
              <w:pStyle w:val="style179"/>
              <w:bidi/>
              <w:ind w:left="0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b/>
                <w:bCs/>
                <w:sz w:val="24"/>
                <w:szCs w:val="24"/>
                <w:rtl/>
                <w:lang w:bidi="ar-JO"/>
              </w:rPr>
              <w:t xml:space="preserve">ج) تقليل مستوى الدخل المعيشي للأفراد </w:t>
            </w:r>
          </w:p>
        </w:tc>
      </w:tr>
      <w:tr w14:paraId="13B84294">
        <w:tblPrEx/>
        <w:trPr/>
        <w:tc>
          <w:tcPr>
            <w:tcW w:w="5148" w:type="dxa"/>
            <w:tcBorders/>
          </w:tcPr>
          <w:p w14:paraId="29B26157">
            <w:pPr>
              <w:pStyle w:val="style179"/>
              <w:bidi/>
              <w:ind w:left="0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b/>
                <w:bCs/>
                <w:sz w:val="24"/>
                <w:szCs w:val="24"/>
                <w:rtl/>
                <w:lang w:bidi="ar-JO"/>
              </w:rPr>
              <w:t>ب) إغلاق الشركات وإضعاف حركة الأسواق</w:t>
            </w:r>
          </w:p>
        </w:tc>
        <w:tc>
          <w:tcPr>
            <w:tcW w:w="4483" w:type="dxa"/>
            <w:tcBorders/>
          </w:tcPr>
          <w:p w14:paraId="3B4CFDFA">
            <w:pPr>
              <w:pStyle w:val="style179"/>
              <w:bidi/>
              <w:ind w:left="0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b/>
                <w:bCs/>
                <w:sz w:val="24"/>
                <w:szCs w:val="24"/>
                <w:rtl/>
                <w:lang w:bidi="ar-JO"/>
              </w:rPr>
              <w:t>د) منع التطور التكنولوجي في المجتمع</w:t>
            </w:r>
          </w:p>
        </w:tc>
      </w:tr>
    </w:tbl>
    <w:p w14:paraId="45982574">
      <w:pPr>
        <w:pStyle w:val="style179"/>
        <w:numPr>
          <w:ilvl w:val="0"/>
          <w:numId w:val="1"/>
        </w:numPr>
        <w:bidi/>
        <w:spacing w:before="240" w:after="0"/>
        <w:rPr>
          <w:b/>
          <w:bCs/>
          <w:sz w:val="24"/>
          <w:szCs w:val="24"/>
          <w:lang w:bidi="ar-JO"/>
        </w:rPr>
      </w:pPr>
      <w:r>
        <w:rPr>
          <w:b/>
          <w:bCs/>
          <w:sz w:val="24"/>
          <w:szCs w:val="24"/>
          <w:rtl/>
          <w:lang w:bidi="ar-JO"/>
        </w:rPr>
        <w:t>قيام الشخص بتقسيم دخله بذكاء بين (الاحتياجات اليومية، الادخار، الاستثمار) يُعبّر عن</w:t>
      </w:r>
      <w:r>
        <w:rPr>
          <w:b/>
          <w:bCs/>
          <w:sz w:val="24"/>
          <w:szCs w:val="24"/>
          <w:lang w:bidi="ar-JO"/>
        </w:rPr>
        <w:t>:</w:t>
      </w:r>
    </w:p>
    <w:tbl>
      <w:tblPr>
        <w:tblStyle w:val="style154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5148"/>
        <w:gridCol w:w="4483"/>
      </w:tblGrid>
      <w:tr w14:paraId="5A2CB96B">
        <w:trPr/>
        <w:tc>
          <w:tcPr>
            <w:tcW w:w="5148" w:type="dxa"/>
            <w:tcBorders/>
          </w:tcPr>
          <w:p w14:paraId="4176C941">
            <w:pPr>
              <w:pStyle w:val="style179"/>
              <w:bidi/>
              <w:ind w:left="0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b/>
                <w:bCs/>
                <w:sz w:val="24"/>
                <w:szCs w:val="24"/>
                <w:rtl/>
                <w:lang w:bidi="ar-JO"/>
              </w:rPr>
              <w:t xml:space="preserve">أ) التخطيط المالي السليم </w:t>
            </w:r>
          </w:p>
        </w:tc>
        <w:tc>
          <w:tcPr>
            <w:tcW w:w="4483" w:type="dxa"/>
            <w:tcBorders/>
          </w:tcPr>
          <w:p w14:paraId="05138D9F">
            <w:pPr>
              <w:pStyle w:val="style179"/>
              <w:bidi/>
              <w:ind w:left="0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b/>
                <w:bCs/>
                <w:sz w:val="24"/>
                <w:szCs w:val="24"/>
                <w:rtl/>
                <w:lang w:bidi="ar-JO"/>
              </w:rPr>
              <w:t xml:space="preserve">ج) البخل والتقتير الشديد </w:t>
            </w:r>
          </w:p>
        </w:tc>
      </w:tr>
      <w:tr w14:paraId="31632258">
        <w:tblPrEx/>
        <w:trPr/>
        <w:tc>
          <w:tcPr>
            <w:tcW w:w="5148" w:type="dxa"/>
            <w:tcBorders/>
          </w:tcPr>
          <w:p w14:paraId="00D2219B">
            <w:pPr>
              <w:pStyle w:val="style179"/>
              <w:bidi/>
              <w:ind w:left="0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b/>
                <w:bCs/>
                <w:sz w:val="24"/>
                <w:szCs w:val="24"/>
                <w:rtl/>
                <w:lang w:bidi="ar-JO"/>
              </w:rPr>
              <w:t>ب) العشوائية في إدارة الأموال</w:t>
            </w:r>
          </w:p>
        </w:tc>
        <w:tc>
          <w:tcPr>
            <w:tcW w:w="4483" w:type="dxa"/>
            <w:tcBorders/>
          </w:tcPr>
          <w:p w14:paraId="185FE1B9">
            <w:pPr>
              <w:pStyle w:val="style179"/>
              <w:bidi/>
              <w:ind w:left="0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b/>
                <w:bCs/>
                <w:sz w:val="24"/>
                <w:szCs w:val="24"/>
                <w:rtl/>
                <w:lang w:bidi="ar-JO"/>
              </w:rPr>
              <w:t>د) الإسراف والتبذير غير المدروس</w:t>
            </w:r>
          </w:p>
        </w:tc>
      </w:tr>
    </w:tbl>
    <w:p w14:paraId="6BF980D3">
      <w:pPr>
        <w:pStyle w:val="style179"/>
        <w:numPr>
          <w:ilvl w:val="0"/>
          <w:numId w:val="1"/>
        </w:numPr>
        <w:bidi/>
        <w:spacing w:before="240" w:after="0"/>
        <w:rPr>
          <w:b/>
          <w:bCs/>
          <w:sz w:val="24"/>
          <w:szCs w:val="24"/>
          <w:lang w:bidi="ar-JO"/>
        </w:rPr>
      </w:pPr>
      <w:r>
        <w:rPr>
          <w:b/>
          <w:bCs/>
          <w:sz w:val="24"/>
          <w:szCs w:val="24"/>
          <w:rtl/>
          <w:lang w:bidi="ar-JO"/>
        </w:rPr>
        <w:t>الاعتقاد الشائع الخاطئ بين بعض الناس حول (المال) و(النقود) هو</w:t>
      </w:r>
      <w:r>
        <w:rPr>
          <w:b/>
          <w:bCs/>
          <w:sz w:val="24"/>
          <w:szCs w:val="24"/>
          <w:lang w:bidi="ar-JO"/>
        </w:rPr>
        <w:t>:</w:t>
      </w:r>
    </w:p>
    <w:tbl>
      <w:tblPr>
        <w:tblStyle w:val="style154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5148"/>
        <w:gridCol w:w="4483"/>
      </w:tblGrid>
      <w:tr w14:paraId="2FFBE21A">
        <w:trPr/>
        <w:tc>
          <w:tcPr>
            <w:tcW w:w="5148" w:type="dxa"/>
            <w:tcBorders/>
          </w:tcPr>
          <w:p w14:paraId="35704DE0">
            <w:pPr>
              <w:pStyle w:val="style179"/>
              <w:bidi/>
              <w:ind w:left="0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b/>
                <w:bCs/>
                <w:sz w:val="24"/>
                <w:szCs w:val="24"/>
                <w:rtl/>
                <w:lang w:bidi="ar-JO"/>
              </w:rPr>
              <w:t xml:space="preserve">أ) أنهما يحملان المعنى نفسه تماماً ولا يوجد أي اختلاف بينهما </w:t>
            </w:r>
          </w:p>
        </w:tc>
        <w:tc>
          <w:tcPr>
            <w:tcW w:w="4483" w:type="dxa"/>
            <w:tcBorders/>
          </w:tcPr>
          <w:p w14:paraId="3068651D">
            <w:pPr>
              <w:pStyle w:val="style179"/>
              <w:bidi/>
              <w:ind w:left="0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b/>
                <w:bCs/>
                <w:sz w:val="24"/>
                <w:szCs w:val="24"/>
                <w:rtl/>
                <w:lang w:bidi="ar-JO"/>
              </w:rPr>
              <w:t xml:space="preserve">ج) أن المال يقتصر على العملات الرقمية فقط </w:t>
            </w:r>
          </w:p>
        </w:tc>
      </w:tr>
      <w:tr w14:paraId="3FCA5907">
        <w:tblPrEx/>
        <w:trPr/>
        <w:tc>
          <w:tcPr>
            <w:tcW w:w="5148" w:type="dxa"/>
            <w:tcBorders/>
          </w:tcPr>
          <w:p w14:paraId="6D1DCDBE">
            <w:pPr>
              <w:pStyle w:val="style179"/>
              <w:bidi/>
              <w:ind w:left="0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b/>
                <w:bCs/>
                <w:sz w:val="24"/>
                <w:szCs w:val="24"/>
                <w:rtl/>
                <w:lang w:bidi="ar-JO"/>
              </w:rPr>
              <w:t>ب) أن النقود تشمل الذهب والفضة فقط</w:t>
            </w:r>
          </w:p>
        </w:tc>
        <w:tc>
          <w:tcPr>
            <w:tcW w:w="4483" w:type="dxa"/>
            <w:tcBorders/>
          </w:tcPr>
          <w:p w14:paraId="2B6AEB1C">
            <w:pPr>
              <w:pStyle w:val="style179"/>
              <w:bidi/>
              <w:ind w:left="0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b/>
                <w:bCs/>
                <w:sz w:val="24"/>
                <w:szCs w:val="24"/>
                <w:rtl/>
                <w:lang w:bidi="ar-JO"/>
              </w:rPr>
              <w:t xml:space="preserve">د) أن المقايضة هي النظام المالي المعتمد حالياً </w:t>
            </w:r>
          </w:p>
        </w:tc>
      </w:tr>
    </w:tbl>
    <w:p w14:paraId="58C4D815">
      <w:pPr>
        <w:pStyle w:val="style179"/>
        <w:numPr>
          <w:ilvl w:val="0"/>
          <w:numId w:val="1"/>
        </w:numPr>
        <w:bidi/>
        <w:spacing w:before="240" w:after="0"/>
        <w:rPr>
          <w:b/>
          <w:bCs/>
          <w:sz w:val="24"/>
          <w:szCs w:val="24"/>
          <w:lang w:bidi="ar-JO"/>
        </w:rPr>
      </w:pPr>
      <w:r>
        <w:rPr>
          <w:b/>
          <w:bCs/>
          <w:sz w:val="24"/>
          <w:szCs w:val="24"/>
          <w:rtl/>
          <w:lang w:bidi="ar-JO"/>
        </w:rPr>
        <w:t>من أهم المزايا الخاصة بـ "المال الإلكتروني" (مثل المحافظ الإلكترونية بطاقات الائتمان</w:t>
      </w:r>
      <w:r>
        <w:rPr>
          <w:rFonts w:hint="cs"/>
          <w:b/>
          <w:bCs/>
          <w:sz w:val="24"/>
          <w:szCs w:val="24"/>
          <w:rtl/>
          <w:lang w:bidi="ar-JO"/>
        </w:rPr>
        <w:t>):</w:t>
      </w:r>
    </w:p>
    <w:tbl>
      <w:tblPr>
        <w:tblStyle w:val="style154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5148"/>
        <w:gridCol w:w="4483"/>
      </w:tblGrid>
      <w:tr w14:paraId="47FB7929">
        <w:trPr/>
        <w:tc>
          <w:tcPr>
            <w:tcW w:w="5148" w:type="dxa"/>
            <w:tcBorders/>
          </w:tcPr>
          <w:p w14:paraId="4793F084">
            <w:pPr>
              <w:pStyle w:val="style179"/>
              <w:bidi/>
              <w:ind w:left="0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b/>
                <w:bCs/>
                <w:sz w:val="24"/>
                <w:szCs w:val="24"/>
                <w:rtl/>
                <w:lang w:bidi="ar-JO"/>
              </w:rPr>
              <w:t xml:space="preserve">أ) صعوبة الاستخدام وارتفاع خطورة التعامل </w:t>
            </w:r>
          </w:p>
        </w:tc>
        <w:tc>
          <w:tcPr>
            <w:tcW w:w="4483" w:type="dxa"/>
            <w:tcBorders/>
          </w:tcPr>
          <w:p w14:paraId="117EC941">
            <w:pPr>
              <w:pStyle w:val="style179"/>
              <w:bidi/>
              <w:ind w:left="0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b/>
                <w:bCs/>
                <w:sz w:val="24"/>
                <w:szCs w:val="24"/>
                <w:rtl/>
                <w:lang w:bidi="ar-JO"/>
              </w:rPr>
              <w:t xml:space="preserve">ج) الاقتصار على التعاملات الورقية فقط </w:t>
            </w:r>
          </w:p>
        </w:tc>
      </w:tr>
      <w:tr w14:paraId="22865A5D">
        <w:tblPrEx/>
        <w:trPr/>
        <w:tc>
          <w:tcPr>
            <w:tcW w:w="5148" w:type="dxa"/>
            <w:tcBorders/>
          </w:tcPr>
          <w:p w14:paraId="1563FCBA">
            <w:pPr>
              <w:pStyle w:val="style179"/>
              <w:bidi/>
              <w:ind w:left="0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b/>
                <w:bCs/>
                <w:sz w:val="24"/>
                <w:szCs w:val="24"/>
                <w:rtl/>
                <w:lang w:bidi="ar-JO"/>
              </w:rPr>
              <w:t>ب) سهولة الاستخدام ودرجة الأمان المرتفعة</w:t>
            </w:r>
          </w:p>
        </w:tc>
        <w:tc>
          <w:tcPr>
            <w:tcW w:w="4483" w:type="dxa"/>
            <w:tcBorders/>
          </w:tcPr>
          <w:p w14:paraId="37E33573">
            <w:pPr>
              <w:pStyle w:val="style179"/>
              <w:bidi/>
              <w:ind w:left="0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b/>
                <w:bCs/>
                <w:sz w:val="24"/>
                <w:szCs w:val="24"/>
                <w:rtl/>
                <w:lang w:bidi="ar-JO"/>
              </w:rPr>
              <w:t xml:space="preserve">د) عدم قبولها في الأسواق والمتاجر الحديثة </w:t>
            </w:r>
          </w:p>
        </w:tc>
      </w:tr>
    </w:tbl>
    <w:p w14:paraId="1A85D567">
      <w:pPr>
        <w:pStyle w:val="style179"/>
        <w:bidi/>
        <w:spacing w:before="240" w:after="0"/>
        <w:rPr>
          <w:b/>
          <w:bCs/>
          <w:sz w:val="24"/>
          <w:szCs w:val="24"/>
          <w:lang w:bidi="ar-JO"/>
        </w:rPr>
      </w:pPr>
    </w:p>
    <w:p w14:paraId="1B589282">
      <w:pPr>
        <w:pStyle w:val="style179"/>
        <w:bidi/>
        <w:spacing w:before="240" w:after="0"/>
        <w:rPr>
          <w:b/>
          <w:bCs/>
          <w:sz w:val="24"/>
          <w:szCs w:val="24"/>
          <w:lang w:bidi="ar-JO"/>
        </w:rPr>
      </w:pPr>
    </w:p>
    <w:p w14:paraId="2FF940A5">
      <w:pPr>
        <w:pStyle w:val="style179"/>
        <w:bidi/>
        <w:spacing w:before="240" w:after="0"/>
        <w:jc w:val="right"/>
        <w:rPr>
          <w:b/>
          <w:bCs/>
          <w:sz w:val="24"/>
          <w:szCs w:val="24"/>
          <w:lang w:bidi="ar-JO"/>
        </w:rPr>
      </w:pPr>
      <w:r>
        <w:rPr>
          <w:rFonts w:hint="cs"/>
          <w:b/>
          <w:bCs/>
          <w:sz w:val="24"/>
          <w:szCs w:val="24"/>
          <w:rtl/>
          <w:lang w:bidi="ar-JO"/>
        </w:rPr>
        <w:t>يتبع الصفحة الرابعة...</w:t>
      </w:r>
    </w:p>
    <w:p w14:paraId="7FC6819F">
      <w:pPr>
        <w:pStyle w:val="style179"/>
        <w:numPr>
          <w:ilvl w:val="0"/>
          <w:numId w:val="1"/>
        </w:numPr>
        <w:bidi/>
        <w:spacing w:before="240" w:after="0"/>
        <w:rPr>
          <w:b/>
          <w:bCs/>
          <w:sz w:val="24"/>
          <w:szCs w:val="24"/>
          <w:lang w:bidi="ar-JO"/>
        </w:rPr>
      </w:pPr>
      <w:r>
        <w:rPr>
          <w:b/>
          <w:bCs/>
          <w:sz w:val="24"/>
          <w:szCs w:val="24"/>
          <w:rtl/>
          <w:lang w:bidi="ar-JO"/>
        </w:rPr>
        <w:t>الفائدة الأساسية للادخار المالي هي</w:t>
      </w:r>
      <w:r>
        <w:rPr>
          <w:b/>
          <w:bCs/>
          <w:sz w:val="24"/>
          <w:szCs w:val="24"/>
          <w:lang w:bidi="ar-JO"/>
        </w:rPr>
        <w:t>:</w:t>
      </w:r>
    </w:p>
    <w:tbl>
      <w:tblPr>
        <w:tblStyle w:val="style154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5148"/>
        <w:gridCol w:w="4483"/>
      </w:tblGrid>
      <w:tr w14:paraId="36E82C80">
        <w:trPr/>
        <w:tc>
          <w:tcPr>
            <w:tcW w:w="5148" w:type="dxa"/>
            <w:tcBorders/>
          </w:tcPr>
          <w:p w14:paraId="6F921D7A">
            <w:pPr>
              <w:pStyle w:val="style179"/>
              <w:bidi/>
              <w:ind w:left="0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b/>
                <w:bCs/>
                <w:sz w:val="24"/>
                <w:szCs w:val="24"/>
                <w:rtl/>
                <w:lang w:bidi="ar-JO"/>
              </w:rPr>
              <w:t xml:space="preserve">أ) إنفاق المبالغ المتبقية فوراً على الرغبات </w:t>
            </w:r>
          </w:p>
        </w:tc>
        <w:tc>
          <w:tcPr>
            <w:tcW w:w="4483" w:type="dxa"/>
            <w:tcBorders/>
          </w:tcPr>
          <w:p w14:paraId="5381D57E">
            <w:pPr>
              <w:pStyle w:val="style179"/>
              <w:bidi/>
              <w:ind w:left="0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b/>
                <w:bCs/>
                <w:sz w:val="24"/>
                <w:szCs w:val="24"/>
                <w:rtl/>
                <w:lang w:bidi="ar-JO"/>
              </w:rPr>
              <w:t xml:space="preserve">ج) تراكم الديون والالتزامات المالية </w:t>
            </w:r>
          </w:p>
        </w:tc>
      </w:tr>
      <w:tr w14:paraId="6BA9DDA7">
        <w:tblPrEx/>
        <w:trPr/>
        <w:tc>
          <w:tcPr>
            <w:tcW w:w="5148" w:type="dxa"/>
            <w:tcBorders/>
          </w:tcPr>
          <w:p w14:paraId="03FFE94B">
            <w:pPr>
              <w:pStyle w:val="style179"/>
              <w:bidi/>
              <w:ind w:left="0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b/>
                <w:bCs/>
                <w:sz w:val="24"/>
                <w:szCs w:val="24"/>
                <w:rtl/>
                <w:lang w:bidi="ar-JO"/>
              </w:rPr>
              <w:t xml:space="preserve">ب) مساعدة الفرد على تحقيق أهدافه وتلبية احتياجاته المستقبلية </w:t>
            </w:r>
          </w:p>
        </w:tc>
        <w:tc>
          <w:tcPr>
            <w:tcW w:w="4483" w:type="dxa"/>
            <w:tcBorders/>
          </w:tcPr>
          <w:p w14:paraId="0BA59DF8">
            <w:pPr>
              <w:pStyle w:val="style179"/>
              <w:bidi/>
              <w:ind w:left="0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b/>
                <w:bCs/>
                <w:sz w:val="24"/>
                <w:szCs w:val="24"/>
                <w:rtl/>
                <w:lang w:bidi="ar-JO"/>
              </w:rPr>
              <w:t>د) حرمان النفس من الاحتياجات الأساسية الحالية</w:t>
            </w:r>
          </w:p>
        </w:tc>
      </w:tr>
    </w:tbl>
    <w:p w14:paraId="306A4D23">
      <w:pPr>
        <w:pStyle w:val="style179"/>
        <w:numPr>
          <w:ilvl w:val="0"/>
          <w:numId w:val="1"/>
        </w:numPr>
        <w:bidi/>
        <w:spacing w:before="240" w:after="0"/>
        <w:rPr>
          <w:b/>
          <w:bCs/>
          <w:sz w:val="24"/>
          <w:szCs w:val="24"/>
          <w:lang w:bidi="ar-JO"/>
        </w:rPr>
      </w:pPr>
      <w:r>
        <w:rPr>
          <w:b/>
          <w:bCs/>
          <w:sz w:val="24"/>
          <w:szCs w:val="24"/>
          <w:rtl/>
          <w:lang w:bidi="ar-JO"/>
        </w:rPr>
        <w:t>النتيجة النهائية التي نستخلصها من درس "أهمية المال" هي</w:t>
      </w:r>
      <w:r>
        <w:rPr>
          <w:b/>
          <w:bCs/>
          <w:sz w:val="24"/>
          <w:szCs w:val="24"/>
          <w:lang w:bidi="ar-JO"/>
        </w:rPr>
        <w:t>:</w:t>
      </w:r>
    </w:p>
    <w:tbl>
      <w:tblPr>
        <w:tblStyle w:val="style154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5148"/>
        <w:gridCol w:w="4483"/>
      </w:tblGrid>
      <w:tr w14:paraId="36197275">
        <w:trPr/>
        <w:tc>
          <w:tcPr>
            <w:tcW w:w="5148" w:type="dxa"/>
            <w:tcBorders/>
          </w:tcPr>
          <w:p w14:paraId="3449BE1C">
            <w:pPr>
              <w:pStyle w:val="style179"/>
              <w:bidi/>
              <w:ind w:left="0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b/>
                <w:bCs/>
                <w:sz w:val="24"/>
                <w:szCs w:val="24"/>
                <w:rtl/>
                <w:lang w:bidi="ar-JO"/>
              </w:rPr>
              <w:t xml:space="preserve">أ) التنافس على جمع الأموال بشتى الطرق والأساليب </w:t>
            </w:r>
          </w:p>
        </w:tc>
        <w:tc>
          <w:tcPr>
            <w:tcW w:w="4483" w:type="dxa"/>
            <w:tcBorders/>
          </w:tcPr>
          <w:p w14:paraId="0C0EFD56">
            <w:pPr>
              <w:pStyle w:val="style179"/>
              <w:bidi/>
              <w:ind w:left="0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b/>
                <w:bCs/>
                <w:sz w:val="24"/>
                <w:szCs w:val="24"/>
                <w:rtl/>
                <w:lang w:bidi="ar-JO"/>
              </w:rPr>
              <w:t xml:space="preserve">ج) الاعتماد على القروض البنكية لتغطية جميع المصاريف </w:t>
            </w:r>
          </w:p>
        </w:tc>
      </w:tr>
      <w:tr w14:paraId="6D59064D">
        <w:tblPrEx/>
        <w:trPr/>
        <w:tc>
          <w:tcPr>
            <w:tcW w:w="5148" w:type="dxa"/>
            <w:tcBorders/>
          </w:tcPr>
          <w:p w14:paraId="0948BE69">
            <w:pPr>
              <w:pStyle w:val="style179"/>
              <w:bidi/>
              <w:ind w:left="0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b/>
                <w:bCs/>
                <w:sz w:val="24"/>
                <w:szCs w:val="24"/>
                <w:rtl/>
                <w:lang w:bidi="ar-JO"/>
              </w:rPr>
              <w:t xml:space="preserve">ب) استخدام المال بحكمة واعتدال يحقق التوازن والاستقرار والرفاهية </w:t>
            </w:r>
          </w:p>
        </w:tc>
        <w:tc>
          <w:tcPr>
            <w:tcW w:w="4483" w:type="dxa"/>
            <w:tcBorders/>
          </w:tcPr>
          <w:p w14:paraId="46BD75B2">
            <w:pPr>
              <w:pStyle w:val="style179"/>
              <w:bidi/>
              <w:ind w:left="0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b/>
                <w:bCs/>
                <w:sz w:val="24"/>
                <w:szCs w:val="24"/>
                <w:rtl/>
                <w:lang w:bidi="ar-JO"/>
              </w:rPr>
              <w:t>د) إنفاق جميع الأموال في بداية الشهر دون إعداد موازنة</w:t>
            </w:r>
          </w:p>
        </w:tc>
      </w:tr>
    </w:tbl>
    <w:p w14:paraId="05F85EA7">
      <w:pPr>
        <w:pStyle w:val="style179"/>
        <w:numPr>
          <w:ilvl w:val="0"/>
          <w:numId w:val="1"/>
        </w:numPr>
        <w:bidi/>
        <w:spacing w:before="240" w:after="0"/>
        <w:rPr>
          <w:b/>
          <w:bCs/>
          <w:sz w:val="24"/>
          <w:szCs w:val="24"/>
          <w:lang w:bidi="ar-JO"/>
        </w:rPr>
      </w:pPr>
      <w:r>
        <w:rPr>
          <w:b/>
          <w:bCs/>
          <w:sz w:val="24"/>
          <w:szCs w:val="24"/>
          <w:rtl/>
          <w:lang w:bidi="ar-JO"/>
        </w:rPr>
        <w:t>يُعتبر "التبرع" من استخدامات المال المهمة لأنه يُسهم في</w:t>
      </w:r>
      <w:r>
        <w:rPr>
          <w:b/>
          <w:bCs/>
          <w:sz w:val="24"/>
          <w:szCs w:val="24"/>
          <w:lang w:bidi="ar-JO"/>
        </w:rPr>
        <w:t>:</w:t>
      </w:r>
    </w:p>
    <w:tbl>
      <w:tblPr>
        <w:tblStyle w:val="style154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5148"/>
        <w:gridCol w:w="4483"/>
      </w:tblGrid>
      <w:tr w14:paraId="43835D05">
        <w:trPr/>
        <w:tc>
          <w:tcPr>
            <w:tcW w:w="5148" w:type="dxa"/>
            <w:tcBorders/>
          </w:tcPr>
          <w:p w14:paraId="12D2016A">
            <w:pPr>
              <w:pStyle w:val="style179"/>
              <w:bidi/>
              <w:ind w:left="0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b/>
                <w:bCs/>
                <w:sz w:val="24"/>
                <w:szCs w:val="24"/>
                <w:rtl/>
                <w:lang w:bidi="ar-JO"/>
              </w:rPr>
              <w:t xml:space="preserve">أ) مساعدة الآخرين ودعم الجمعيات الخيرية والمجتمع </w:t>
            </w:r>
          </w:p>
        </w:tc>
        <w:tc>
          <w:tcPr>
            <w:tcW w:w="4483" w:type="dxa"/>
            <w:tcBorders/>
          </w:tcPr>
          <w:p w14:paraId="1D8CF442">
            <w:pPr>
              <w:pStyle w:val="style179"/>
              <w:bidi/>
              <w:ind w:left="0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b/>
                <w:bCs/>
                <w:sz w:val="24"/>
                <w:szCs w:val="24"/>
                <w:rtl/>
                <w:lang w:bidi="ar-JO"/>
              </w:rPr>
              <w:t xml:space="preserve">ج) شراء السلع الشخصية والكماليات الفاخرة </w:t>
            </w:r>
          </w:p>
        </w:tc>
      </w:tr>
      <w:tr w14:paraId="64585FB4">
        <w:tblPrEx/>
        <w:trPr/>
        <w:tc>
          <w:tcPr>
            <w:tcW w:w="5148" w:type="dxa"/>
            <w:tcBorders/>
          </w:tcPr>
          <w:p w14:paraId="219468E0">
            <w:pPr>
              <w:pStyle w:val="style179"/>
              <w:bidi/>
              <w:ind w:left="0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b/>
                <w:bCs/>
                <w:sz w:val="24"/>
                <w:szCs w:val="24"/>
                <w:rtl/>
                <w:lang w:bidi="ar-JO"/>
              </w:rPr>
              <w:t>ب) تحقيق أرباح تجارية وشخصية سريعة</w:t>
            </w:r>
          </w:p>
        </w:tc>
        <w:tc>
          <w:tcPr>
            <w:tcW w:w="4483" w:type="dxa"/>
            <w:tcBorders/>
          </w:tcPr>
          <w:p w14:paraId="55882DF8">
            <w:pPr>
              <w:pStyle w:val="style179"/>
              <w:bidi/>
              <w:ind w:left="0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b/>
                <w:bCs/>
                <w:sz w:val="24"/>
                <w:szCs w:val="24"/>
                <w:rtl/>
                <w:lang w:bidi="ar-JO"/>
              </w:rPr>
              <w:t xml:space="preserve">د) ادخار الأموال للحالات الطارئة فقط </w:t>
            </w:r>
          </w:p>
        </w:tc>
      </w:tr>
    </w:tbl>
    <w:p w14:paraId="6221B913">
      <w:pPr>
        <w:pStyle w:val="style0"/>
        <w:bidi/>
        <w:spacing w:after="0"/>
        <w:rPr>
          <w:b/>
          <w:bCs/>
          <w:sz w:val="24"/>
          <w:szCs w:val="24"/>
          <w:rtl/>
          <w:lang w:bidi="ar-JO"/>
        </w:rPr>
      </w:pPr>
    </w:p>
    <w:p w14:paraId="3CB50D99">
      <w:pPr>
        <w:pStyle w:val="style0"/>
        <w:bidi/>
        <w:spacing w:after="0"/>
        <w:rPr>
          <w:b/>
          <w:bCs/>
          <w:sz w:val="24"/>
          <w:szCs w:val="24"/>
          <w:rtl/>
          <w:lang w:bidi="ar-JO"/>
        </w:rPr>
      </w:pPr>
    </w:p>
    <w:p w14:paraId="4F0D3968">
      <w:pPr>
        <w:pStyle w:val="style0"/>
        <w:bidi/>
        <w:spacing w:after="0"/>
        <w:rPr>
          <w:b/>
          <w:bCs/>
          <w:sz w:val="24"/>
          <w:szCs w:val="24"/>
          <w:rtl/>
          <w:lang w:bidi="ar-JO"/>
        </w:rPr>
      </w:pPr>
    </w:p>
    <w:p w14:paraId="2A98B96F">
      <w:pPr>
        <w:pStyle w:val="style0"/>
        <w:bidi/>
        <w:spacing w:after="0"/>
        <w:rPr>
          <w:b/>
          <w:bCs/>
          <w:sz w:val="24"/>
          <w:szCs w:val="24"/>
          <w:rtl/>
          <w:lang w:bidi="ar-JO"/>
        </w:rPr>
      </w:pPr>
    </w:p>
    <w:p w14:paraId="765A3FBE">
      <w:pPr>
        <w:pStyle w:val="style0"/>
        <w:bidi/>
        <w:spacing w:after="0"/>
        <w:ind w:left="720"/>
        <w:rPr>
          <w:b/>
          <w:bCs/>
          <w:sz w:val="24"/>
          <w:szCs w:val="24"/>
          <w:lang w:bidi="ar-JO"/>
        </w:rPr>
      </w:pPr>
      <w:r>
        <w:rPr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0" distR="0" simplePos="false" relativeHeight="2" behindDoc="false" locked="false" layoutInCell="true" allowOverlap="true">
                <wp:simplePos x="0" y="0"/>
                <wp:positionH relativeFrom="column">
                  <wp:posOffset>1445741</wp:posOffset>
                </wp:positionH>
                <wp:positionV relativeFrom="paragraph">
                  <wp:posOffset>86531</wp:posOffset>
                </wp:positionV>
                <wp:extent cx="4262906" cy="1260389"/>
                <wp:effectExtent l="0" t="0" r="23495" b="16510"/>
                <wp:wrapNone/>
                <wp:docPr id="1027" name="Scroll: Horizontal 2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4262906" cy="1260389"/>
                        </a:xfrm>
                        <a:prstGeom prst="horizontalScroll"/>
                        <a:ln cmpd="sng" cap="flat" w="254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txbx id="1027">
                        <w:txbxContent>
                          <w:p w14:paraId="1639BCC2">
                            <w:pPr>
                              <w:pStyle w:val="style0"/>
                              <w:bidi/>
                              <w:spacing w:before="240"/>
                              <w:ind w:left="360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lang w:bidi="ar-JO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:lang w:bidi="ar-JO"/>
                              </w:rPr>
                              <w:t>"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انتهت الأسئلة، مع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أمنياتنا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للجميع بدوام التوفيق والنجاح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:lang w:bidi="ar-JO"/>
                              </w:rPr>
                              <w:t>".</w:t>
                            </w:r>
                          </w:p>
                          <w:p w14:paraId="224A7B30">
                            <w:pPr>
                              <w:pStyle w:val="style0"/>
                              <w:spacing w:before="240"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معلمات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المادة: مجد الصرايرة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,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اسراء الهور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, سبأ عقل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.</w:t>
                            </w:r>
                          </w:p>
                          <w:p w14:paraId="69AEFFA6">
                            <w:pPr>
                              <w:pStyle w:val="style0"/>
                              <w:spacing w:before="240"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lIns="91440" rIns="91440" tIns="45720" bIns="45720" vert="horz" anchor="ctr" wrap="square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98" coordsize="21600,21600" o:spt="98" adj="2700" path="m0@5qy@2@1l@0@1@0@2qy@7,,21600@2l21600@9qy@7@10l@1@10@1@11qy@2,21600,0@11xem0@5nfqy@2@6@1@5@3@4@2@5l@2@6em@1@5nfl@1@10em21600@2nfqy@7@1l@0@1em@0@2nfqy@8@3@7@2l@7@1e">
                <v:stroke joinstyle="miter"/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topLeft,#0" xrange="0,5400"/>
                </v:handles>
                <o:complex v:ext="view"/>
              </v:shapetype>
              <v:shape id="1027" type="#_x0000_t98" adj="2700," filled="f" style="position:absolute;margin-left:113.84pt;margin-top:6.81pt;width:335.66pt;height:99.24pt;z-index:2;mso-position-horizontal-relative:text;mso-position-vertical-relative:text;mso-width-percent:0;mso-height-percent:0;mso-width-relative:margin;mso-height-relative:margin;mso-wrap-distance-left:0.0pt;mso-wrap-distance-right:0.0pt;visibility:visible;v-text-anchor:middle;">
                <v:stroke weight="2.0pt"/>
                <v:fill/>
                <v:textbox inset="7.2pt,3.6pt,7.2pt,3.6pt">
                  <w:txbxContent>
                    <w:p w14:paraId="1639BCC2">
                      <w:pPr>
                        <w:pStyle w:val="style0"/>
                        <w:bidi/>
                        <w:spacing w:before="240"/>
                        <w:ind w:left="360"/>
                        <w:jc w:val="center"/>
                        <w:rPr>
                          <w:b/>
                          <w:bCs/>
                          <w:sz w:val="28"/>
                          <w:szCs w:val="28"/>
                          <w:lang w:bidi="ar-JO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  <w:lang w:bidi="ar-JO"/>
                        </w:rPr>
                        <w:t>"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انتهت الأسئلة، مع </w:t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أمنياتنا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للجميع بدوام التوفيق والنجاح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  <w:lang w:bidi="ar-JO"/>
                        </w:rPr>
                        <w:t>".</w:t>
                      </w:r>
                    </w:p>
                    <w:p w14:paraId="224A7B30">
                      <w:pPr>
                        <w:pStyle w:val="style0"/>
                        <w:spacing w:before="240"/>
                        <w:jc w:val="center"/>
                        <w:rPr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معلمات</w:t>
                      </w: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المادة: مجد الصرايرة</w:t>
                      </w: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,</w:t>
                      </w: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اسراء الهور</w:t>
                      </w: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, سبأ عقل</w:t>
                      </w: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.</w:t>
                      </w:r>
                    </w:p>
                    <w:p w14:paraId="69AEFFA6">
                      <w:pPr>
                        <w:pStyle w:val="style0"/>
                        <w:spacing w:before="240"/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7054979">
      <w:pPr>
        <w:pStyle w:val="style0"/>
        <w:bidi/>
        <w:spacing w:after="0"/>
        <w:rPr>
          <w:b/>
          <w:bCs/>
          <w:sz w:val="24"/>
          <w:szCs w:val="24"/>
          <w:rtl/>
          <w:lang w:bidi="ar-JO"/>
        </w:rPr>
      </w:pPr>
    </w:p>
    <w:sectPr>
      <w:pgSz w:w="12240" w:h="15840" w:orient="portrait"/>
      <w:pgMar w:top="720" w:right="720" w:bottom="720" w:left="720" w:header="720" w:footer="720" w:gutter="0"/>
      <w:pgBorders w:zOrder="front" w:display="allPages"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002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0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005040204"/>
    <w:charset w:val="00"/>
    <w:family w:val="swiss"/>
    <w:pitch w:val="variable"/>
    <w:sig w:usb0="00000003" w:usb1="00000000" w:usb2="00000000" w:usb3="00000000" w:csb0="00000001" w:csb1="00000000"/>
  </w:font>
  <w:font w:name="Cambria">
    <w:altName w:val="Cambria"/>
    <w:panose1 w:val="02040503050004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multilevel"/>
    <w:tmpl w:val="E98ADD4C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0000001"/>
    <w:multiLevelType w:val="multilevel"/>
    <w:tmpl w:val="2D2E829C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0000002"/>
    <w:multiLevelType w:val="multilevel"/>
    <w:tmpl w:val="12967B86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0000003"/>
    <w:multiLevelType w:val="multilevel"/>
    <w:tmpl w:val="064A83B2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0000004"/>
    <w:multiLevelType w:val="multilevel"/>
    <w:tmpl w:val="75F22AD6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0000005"/>
    <w:multiLevelType w:val="multilevel"/>
    <w:tmpl w:val="8C4A6AC2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0000006"/>
    <w:multiLevelType w:val="multilevel"/>
    <w:tmpl w:val="5AC0DC7E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0000007"/>
    <w:multiLevelType w:val="multilevel"/>
    <w:tmpl w:val="CA62C3F4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0000008"/>
    <w:multiLevelType w:val="hybridMultilevel"/>
    <w:tmpl w:val="50008E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0000009"/>
    <w:multiLevelType w:val="multilevel"/>
    <w:tmpl w:val="20B2C98A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0000000A"/>
    <w:multiLevelType w:val="hybridMultilevel"/>
    <w:tmpl w:val="45CE81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000000B"/>
    <w:multiLevelType w:val="multilevel"/>
    <w:tmpl w:val="5E8CA1C0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0000000C"/>
    <w:multiLevelType w:val="multilevel"/>
    <w:tmpl w:val="6A5A878A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0000000D"/>
    <w:multiLevelType w:val="multilevel"/>
    <w:tmpl w:val="0426667A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0000000E"/>
    <w:multiLevelType w:val="multilevel"/>
    <w:tmpl w:val="FD60FA0A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0000000F"/>
    <w:multiLevelType w:val="multilevel"/>
    <w:tmpl w:val="5CD6E060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00000010"/>
    <w:multiLevelType w:val="multilevel"/>
    <w:tmpl w:val="9CAA8B1C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00000011"/>
    <w:multiLevelType w:val="multilevel"/>
    <w:tmpl w:val="630069FC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00000012"/>
    <w:multiLevelType w:val="multilevel"/>
    <w:tmpl w:val="79869710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00000013"/>
    <w:multiLevelType w:val="multilevel"/>
    <w:tmpl w:val="90F4898C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00000014"/>
    <w:multiLevelType w:val="multilevel"/>
    <w:tmpl w:val="29C4D03C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00000015"/>
    <w:multiLevelType w:val="multilevel"/>
    <w:tmpl w:val="4AF0397C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00000016"/>
    <w:multiLevelType w:val="multilevel"/>
    <w:tmpl w:val="BA4A1EEE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00000017"/>
    <w:multiLevelType w:val="multilevel"/>
    <w:tmpl w:val="EC589CA6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00000018"/>
    <w:multiLevelType w:val="multilevel"/>
    <w:tmpl w:val="3AF0968C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00000019"/>
    <w:multiLevelType w:val="hybridMultilevel"/>
    <w:tmpl w:val="3998C5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0000001A"/>
    <w:multiLevelType w:val="multilevel"/>
    <w:tmpl w:val="590ED024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0000001B"/>
    <w:multiLevelType w:val="hybridMultilevel"/>
    <w:tmpl w:val="33FCCF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0000001C"/>
    <w:multiLevelType w:val="multilevel"/>
    <w:tmpl w:val="496C06E8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0000001D"/>
    <w:multiLevelType w:val="multilevel"/>
    <w:tmpl w:val="AE6AA34C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0000001E"/>
    <w:multiLevelType w:val="multilevel"/>
    <w:tmpl w:val="B442DD42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0000001F"/>
    <w:multiLevelType w:val="hybridMultilevel"/>
    <w:tmpl w:val="33FA77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00000020"/>
    <w:multiLevelType w:val="multilevel"/>
    <w:tmpl w:val="C3C02438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00000021"/>
    <w:multiLevelType w:val="multilevel"/>
    <w:tmpl w:val="260297E0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00000022"/>
    <w:multiLevelType w:val="multilevel"/>
    <w:tmpl w:val="49EEA23C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00000023"/>
    <w:multiLevelType w:val="multilevel"/>
    <w:tmpl w:val="E6B68AC8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7"/>
  </w:num>
  <w:num w:numId="2">
    <w:abstractNumId w:val="30"/>
  </w:num>
  <w:num w:numId="3">
    <w:abstractNumId w:val="35"/>
  </w:num>
  <w:num w:numId="4">
    <w:abstractNumId w:val="22"/>
  </w:num>
  <w:num w:numId="5">
    <w:abstractNumId w:val="0"/>
  </w:num>
  <w:num w:numId="6">
    <w:abstractNumId w:val="17"/>
  </w:num>
  <w:num w:numId="7">
    <w:abstractNumId w:val="34"/>
  </w:num>
  <w:num w:numId="8">
    <w:abstractNumId w:val="13"/>
  </w:num>
  <w:num w:numId="9">
    <w:abstractNumId w:val="2"/>
  </w:num>
  <w:num w:numId="10">
    <w:abstractNumId w:val="29"/>
  </w:num>
  <w:num w:numId="11">
    <w:abstractNumId w:val="14"/>
  </w:num>
  <w:num w:numId="12">
    <w:abstractNumId w:val="23"/>
  </w:num>
  <w:num w:numId="13">
    <w:abstractNumId w:val="9"/>
  </w:num>
  <w:num w:numId="14">
    <w:abstractNumId w:val="7"/>
  </w:num>
  <w:num w:numId="15">
    <w:abstractNumId w:val="1"/>
  </w:num>
  <w:num w:numId="16">
    <w:abstractNumId w:val="33"/>
  </w:num>
  <w:num w:numId="17">
    <w:abstractNumId w:val="20"/>
  </w:num>
  <w:num w:numId="18">
    <w:abstractNumId w:val="19"/>
  </w:num>
  <w:num w:numId="19">
    <w:abstractNumId w:val="28"/>
  </w:num>
  <w:num w:numId="20">
    <w:abstractNumId w:val="18"/>
  </w:num>
  <w:num w:numId="21">
    <w:abstractNumId w:val="11"/>
  </w:num>
  <w:num w:numId="22">
    <w:abstractNumId w:val="21"/>
  </w:num>
  <w:num w:numId="23">
    <w:abstractNumId w:val="32"/>
  </w:num>
  <w:num w:numId="24">
    <w:abstractNumId w:val="5"/>
  </w:num>
  <w:num w:numId="25">
    <w:abstractNumId w:val="4"/>
  </w:num>
  <w:num w:numId="26">
    <w:abstractNumId w:val="24"/>
  </w:num>
  <w:num w:numId="27">
    <w:abstractNumId w:val="6"/>
  </w:num>
  <w:num w:numId="28">
    <w:abstractNumId w:val="26"/>
  </w:num>
  <w:num w:numId="29">
    <w:abstractNumId w:val="12"/>
  </w:num>
  <w:num w:numId="30">
    <w:abstractNumId w:val="16"/>
  </w:num>
  <w:num w:numId="31">
    <w:abstractNumId w:val="15"/>
  </w:num>
  <w:num w:numId="32">
    <w:abstractNumId w:val="8"/>
  </w:num>
  <w:num w:numId="33">
    <w:abstractNumId w:val="31"/>
  </w:num>
  <w:num w:numId="34">
    <w:abstractNumId w:val="3"/>
  </w:num>
  <w:num w:numId="35">
    <w:abstractNumId w:val="25"/>
  </w:num>
  <w:num w:numId="36">
    <w:abstractNumId w:val="1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val="bestFit" w:percent="154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Arial" w:eastAsia="Calibri" w:hAnsi="Calibri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53">
    <w:name w:val="Balloon Text"/>
    <w:basedOn w:val="style0"/>
    <w:next w:val="style153"/>
    <w:link w:val="style4097"/>
    <w:uiPriority w:val="99"/>
    <w:pPr>
      <w:spacing w:after="0" w:lineRule="auto" w:line="240"/>
    </w:pPr>
    <w:rPr>
      <w:rFonts w:ascii="Tahoma" w:cs="Tahoma" w:hAnsi="Tahoma"/>
      <w:sz w:val="16"/>
      <w:szCs w:val="16"/>
    </w:rPr>
  </w:style>
  <w:style w:type="character" w:customStyle="1" w:styleId="style4097">
    <w:name w:val="Balloon Text Char"/>
    <w:basedOn w:val="style65"/>
    <w:next w:val="style4097"/>
    <w:link w:val="style153"/>
    <w:uiPriority w:val="99"/>
    <w:rPr>
      <w:rFonts w:ascii="Tahoma" w:cs="Tahoma" w:hAnsi="Tahoma"/>
      <w:sz w:val="16"/>
      <w:szCs w:val="16"/>
    </w:rPr>
  </w:style>
  <w:style w:type="table" w:styleId="style154">
    <w:name w:val="Table Grid"/>
    <w:basedOn w:val="style105"/>
    <w:next w:val="style154"/>
    <w:uiPriority w:val="59"/>
    <w:pPr>
      <w:spacing w:after="0" w:lineRule="auto" w:line="240"/>
    </w:pPr>
    <w:rPr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paragraph" w:styleId="style31">
    <w:name w:val="header"/>
    <w:basedOn w:val="style0"/>
    <w:next w:val="style31"/>
    <w:link w:val="style4098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8">
    <w:name w:val="Header Char_dfe1324c-d363-4239-ad46-28fd3b3c6232"/>
    <w:basedOn w:val="style65"/>
    <w:next w:val="style4098"/>
    <w:link w:val="style31"/>
    <w:uiPriority w:val="99"/>
  </w:style>
  <w:style w:type="paragraph" w:styleId="style32">
    <w:name w:val="footer"/>
    <w:basedOn w:val="style0"/>
    <w:next w:val="style32"/>
    <w:link w:val="style4099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9">
    <w:name w:val="Footer Char_669c25c7-4362-4470-a249-6b25a0279f12"/>
    <w:basedOn w:val="style65"/>
    <w:next w:val="style4099"/>
    <w:link w:val="style32"/>
    <w:uiPriority w:val="99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4AA805-5A62-4D1D-AC9C-AC577C0624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Words>1127</Words>
  <Pages>4</Pages>
  <Characters>6017</Characters>
  <Application>WPS Office</Application>
  <DocSecurity>0</DocSecurity>
  <Paragraphs>244</Paragraphs>
  <ScaleCrop>false</ScaleCrop>
  <LinksUpToDate>false</LinksUpToDate>
  <CharactersWithSpaces>7070</CharactersWithSpaces>
  <SharedDoc>false</SharedDoc>
  <HyperlinksChanged>false</HyperlinksChanged>
  <AppVersion>14.000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٢٠٢٦-١٠-١٨T١٧:١٦:٠٠Z</dcterms:created>
  <dc:creator>Majd</dc:creator>
  <lastModifiedBy>SM-S928B</lastModifiedBy>
  <lastPrinted>٢٠٢٦-١٠-١٨T٠٩:٤٦:٠٠Z</lastPrinted>
  <dcterms:modified xsi:type="dcterms:W3CDTF">٢٠٢٦-١٠-٢٦T١٧:٥٠:١٩Z</dcterms:modified>
  <revision>4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6eb3b2d40b6348cdae1b3db4c959897d_23</vt:lpwstr>
  </property>
</Properties>
</file>