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7A7CB88">
      <w:pPr>
        <w:pStyle w:val="style0"/>
        <w:pBdr>
          <w:left w:val="single" w:sz="4" w:space="4" w:color="auto"/>
          <w:right w:val="single" w:sz="4" w:space="11" w:color="auto"/>
          <w:top w:val="single" w:sz="4" w:space="12" w:color="auto"/>
          <w:bottom w:val="single" w:sz="4" w:space="0" w:color="auto"/>
        </w:pBdr>
        <w:tabs>
          <w:tab w:val="left" w:leader="none" w:pos="4097"/>
        </w:tabs>
        <w:spacing w:lineRule="auto" w:line="276"/>
        <w:jc w:val="center"/>
        <w:rPr>
          <w:b/>
          <w:bCs/>
          <w:sz w:val="36"/>
          <w:szCs w:val="36"/>
          <w:rtl/>
        </w:rPr>
      </w:pPr>
      <w:r>
        <w:rPr>
          <w:b/>
          <w:bCs/>
          <w:noProof/>
          <w:sz w:val="36"/>
          <w:szCs w:val="36"/>
          <w:lang w:bidi="ar-JO"/>
        </w:rPr>
        <w:drawing>
          <wp:inline distL="0" distT="0" distB="0" distR="0">
            <wp:extent cx="1188720" cy="902335"/>
            <wp:effectExtent l="0" t="0" r="0" b="0"/>
            <wp:docPr id="1026" name="صورة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188720" cy="90233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0D3AC13">
      <w:pPr>
        <w:pStyle w:val="style0"/>
        <w:pBdr>
          <w:left w:val="single" w:sz="4" w:space="4" w:color="auto"/>
          <w:right w:val="single" w:sz="4" w:space="11" w:color="auto"/>
          <w:top w:val="single" w:sz="4" w:space="12" w:color="auto"/>
          <w:bottom w:val="single" w:sz="4" w:space="0" w:color="auto"/>
        </w:pBdr>
        <w:tabs>
          <w:tab w:val="left" w:leader="none" w:pos="4097"/>
        </w:tabs>
        <w:spacing w:lineRule="auto" w:line="276"/>
        <w:jc w:val="center"/>
        <w:rPr>
          <w:b/>
          <w:bCs/>
          <w:sz w:val="36"/>
          <w:szCs w:val="36"/>
          <w:rtl/>
          <w:lang w:bidi="ar-JO"/>
        </w:rPr>
      </w:pPr>
      <w:r>
        <w:rPr>
          <w:rFonts w:hint="cs"/>
          <w:b/>
          <w:bCs/>
          <w:sz w:val="36"/>
          <w:szCs w:val="36"/>
          <w:rtl/>
        </w:rPr>
        <w:t xml:space="preserve">مـدرسة </w:t>
      </w:r>
    </w:p>
    <w:p w14:paraId="637D3F86">
      <w:pPr>
        <w:pStyle w:val="style0"/>
        <w:pBdr>
          <w:left w:val="single" w:sz="4" w:space="4" w:color="auto"/>
          <w:right w:val="single" w:sz="4" w:space="11" w:color="auto"/>
          <w:top w:val="single" w:sz="4" w:space="12" w:color="auto"/>
          <w:bottom w:val="single" w:sz="4" w:space="0" w:color="auto"/>
        </w:pBdr>
        <w:tabs>
          <w:tab w:val="left" w:leader="none" w:pos="7937"/>
        </w:tabs>
        <w:spacing w:lineRule="auto" w:line="276"/>
        <w:jc w:val="center"/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</w:rPr>
        <w:t xml:space="preserve">الاسم : </w:t>
      </w:r>
      <w:r>
        <w:rPr>
          <w:rFonts w:hint="cs"/>
          <w:sz w:val="32"/>
          <w:szCs w:val="32"/>
          <w:rtl/>
        </w:rPr>
        <w:t>........................</w:t>
      </w:r>
      <w:r>
        <w:rPr>
          <w:rFonts w:hint="cs"/>
          <w:b/>
          <w:bCs/>
          <w:sz w:val="32"/>
          <w:szCs w:val="32"/>
          <w:rtl/>
        </w:rPr>
        <w:t xml:space="preserve">  اختبار الشهر ال</w:t>
      </w:r>
      <w:r>
        <w:rPr>
          <w:rFonts w:hint="cs"/>
          <w:b/>
          <w:bCs/>
          <w:sz w:val="32"/>
          <w:szCs w:val="32"/>
          <w:rtl/>
          <w:lang w:bidi="ar-JO"/>
        </w:rPr>
        <w:t>أول للفصل الدراسي الأول</w:t>
      </w:r>
      <w:r>
        <w:rPr>
          <w:rFonts w:hint="cs"/>
          <w:b/>
          <w:bCs/>
          <w:sz w:val="32"/>
          <w:szCs w:val="32"/>
          <w:rtl/>
        </w:rPr>
        <w:t xml:space="preserve">       اليوم : </w:t>
      </w:r>
      <w:r>
        <w:rPr>
          <w:rFonts w:hint="cs"/>
          <w:sz w:val="32"/>
          <w:szCs w:val="32"/>
          <w:rtl/>
        </w:rPr>
        <w:t>.........</w:t>
      </w:r>
      <w:r>
        <w:rPr>
          <w:rFonts w:hint="cs"/>
          <w:sz w:val="32"/>
          <w:szCs w:val="32"/>
          <w:rtl/>
        </w:rPr>
        <w:t>...</w:t>
      </w:r>
      <w:r>
        <w:rPr>
          <w:rFonts w:hint="cs"/>
          <w:sz w:val="32"/>
          <w:szCs w:val="32"/>
          <w:rtl/>
        </w:rPr>
        <w:t>............</w:t>
      </w:r>
    </w:p>
    <w:p w14:paraId="56FAE3BA">
      <w:pPr>
        <w:pStyle w:val="style0"/>
        <w:pBdr>
          <w:left w:val="single" w:sz="4" w:space="4" w:color="auto"/>
          <w:right w:val="single" w:sz="4" w:space="11" w:color="auto"/>
          <w:top w:val="single" w:sz="4" w:space="12" w:color="auto"/>
          <w:bottom w:val="single" w:sz="4" w:space="0" w:color="auto"/>
        </w:pBd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  <w:lang w:bidi="ar-JO"/>
        </w:rPr>
        <w:t>الصف :</w:t>
      </w:r>
      <w:r>
        <w:rPr>
          <w:rFonts w:hint="cs"/>
          <w:b/>
          <w:bCs/>
          <w:sz w:val="32"/>
          <w:szCs w:val="32"/>
          <w:rtl/>
          <w:lang w:bidi="ar-JO"/>
        </w:rPr>
        <w:t>ال</w:t>
      </w:r>
      <w:r>
        <w:rPr>
          <w:rFonts w:hint="cs"/>
          <w:b/>
          <w:bCs/>
          <w:sz w:val="32"/>
          <w:szCs w:val="32"/>
          <w:rtl/>
          <w:lang w:bidi="ar-JO"/>
        </w:rPr>
        <w:t>سابع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(   )                     </w:t>
      </w:r>
      <w:r>
        <w:rPr>
          <w:rFonts w:hint="cs"/>
          <w:b/>
          <w:bCs/>
          <w:sz w:val="32"/>
          <w:szCs w:val="32"/>
          <w:rtl/>
        </w:rPr>
        <w:t>في م</w:t>
      </w:r>
      <w:r>
        <w:rPr>
          <w:rFonts w:hint="cs"/>
          <w:b/>
          <w:bCs/>
          <w:sz w:val="32"/>
          <w:szCs w:val="32"/>
          <w:rtl/>
          <w:lang w:bidi="ar-JO"/>
        </w:rPr>
        <w:t>ـ</w:t>
      </w:r>
      <w:r>
        <w:rPr>
          <w:rFonts w:hint="cs"/>
          <w:b/>
          <w:bCs/>
          <w:sz w:val="32"/>
          <w:szCs w:val="32"/>
          <w:rtl/>
        </w:rPr>
        <w:t>ادة</w:t>
      </w:r>
      <w:r>
        <w:rPr>
          <w:rFonts w:hint="cs"/>
          <w:b/>
          <w:bCs/>
          <w:sz w:val="32"/>
          <w:szCs w:val="32"/>
          <w:rtl/>
        </w:rPr>
        <w:t xml:space="preserve"> الثقافة المالية</w:t>
      </w:r>
      <w:r>
        <w:rPr>
          <w:rFonts w:hint="cs"/>
          <w:b/>
          <w:bCs/>
          <w:sz w:val="32"/>
          <w:szCs w:val="32"/>
          <w:rtl/>
        </w:rPr>
        <w:t xml:space="preserve">                التاريخ :    /    / </w:t>
      </w:r>
    </w:p>
    <w:p w14:paraId="71FF2D8F">
      <w:pPr>
        <w:pStyle w:val="style0"/>
        <w:pBdr>
          <w:left w:val="single" w:sz="4" w:space="4" w:color="auto"/>
          <w:right w:val="single" w:sz="4" w:space="11" w:color="auto"/>
          <w:top w:val="single" w:sz="4" w:space="12" w:color="auto"/>
          <w:bottom w:val="single" w:sz="4" w:space="0" w:color="auto"/>
        </w:pBdr>
        <w:spacing w:lineRule="auto" w:line="276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للعام الدراسي </w:t>
      </w:r>
    </w:p>
    <w:p w14:paraId="28FE2A43">
      <w:pPr>
        <w:pStyle w:val="style0"/>
        <w:rPr>
          <w:rFonts w:ascii="Arial" w:cs="Arial" w:hAnsi="Arial"/>
          <w:color w:val="1f1f1f"/>
          <w:rtl/>
        </w:rPr>
      </w:pPr>
    </w:p>
    <w:p w14:paraId="39A81C97">
      <w:pPr>
        <w:pStyle w:val="style0"/>
        <w:outlineLvl w:val="3"/>
        <w:rPr>
          <w:rFonts w:ascii="Arial" w:cs="Arial" w:hAnsi="Arial"/>
          <w:b/>
          <w:bCs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السؤال الأول: اختر رمز الإجابة الصحيحة في كل مما يأتي (10 علامات):</w:t>
      </w:r>
    </w:p>
    <w:p w14:paraId="7E278AFC">
      <w:pPr>
        <w:pStyle w:val="style0"/>
        <w:numPr>
          <w:ilvl w:val="0"/>
          <w:numId w:val="1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يُعرف الاستثمار بأنه:</w:t>
      </w:r>
    </w:p>
    <w:p w14:paraId="1B84A3E7">
      <w:pPr>
        <w:pStyle w:val="style179"/>
        <w:numPr>
          <w:ilvl w:val="0"/>
          <w:numId w:val="17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الاحتفاظ بالمال للمستقبل دون المخاطرة به.</w:t>
      </w:r>
    </w:p>
    <w:p w14:paraId="3625C221">
      <w:pPr>
        <w:pStyle w:val="style179"/>
        <w:numPr>
          <w:ilvl w:val="0"/>
          <w:numId w:val="17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استخدام الأموال في أصول أو مشروعات بهدف تحقيق دخل أو زيادة في القيمة بمرور الوقت.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374E400F">
      <w:pPr>
        <w:pStyle w:val="style0"/>
        <w:ind w:left="1134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ج) الادخار الشخصي الذي يزيد على حاجة الفرد فقط.</w:t>
      </w:r>
    </w:p>
    <w:p w14:paraId="4FFC4BE0">
      <w:pPr>
        <w:pStyle w:val="style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       </w:t>
      </w:r>
      <w:r>
        <w:rPr>
          <w:rFonts w:ascii="Arial" w:cs="Arial" w:hAnsi="Arial"/>
          <w:color w:val="1f1f1f"/>
          <w:sz w:val="28"/>
          <w:szCs w:val="28"/>
          <w:rtl/>
        </w:rPr>
        <w:t>د) الاقتراض من البنوك والمؤسسات المالية لتلبية الحاجات الاستهلاكية.</w:t>
      </w:r>
    </w:p>
    <w:p w14:paraId="1CF7B4B5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65DC3F8B">
      <w:pPr>
        <w:pStyle w:val="style0"/>
        <w:numPr>
          <w:ilvl w:val="0"/>
          <w:numId w:val="1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أي مما يأتي يُعَدُّ من الأصول الحقيقية؟</w:t>
      </w:r>
    </w:p>
    <w:p w14:paraId="4FF384D3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br/>
      </w:r>
      <w:r>
        <w:rPr>
          <w:rFonts w:ascii="Arial" w:cs="Arial" w:hAnsi="Arial"/>
          <w:color w:val="1f1f1f"/>
          <w:sz w:val="28"/>
          <w:szCs w:val="28"/>
          <w:rtl/>
        </w:rPr>
        <w:t>أ) الأسهم والسندات.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                            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ب) براءات الاختراع والعلامات التجارية.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4C3B6D3D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34EDEC17">
      <w:pPr>
        <w:pStyle w:val="style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 w:hint="cs"/>
          <w:color w:val="1f1f1f"/>
          <w:sz w:val="28"/>
          <w:szCs w:val="28"/>
          <w:bdr w:val="none" w:sz="0" w:space="0" w:color="auto" w:frame="true"/>
          <w:rtl/>
        </w:rPr>
        <w:t xml:space="preserve">      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ج) الاستثمارات العقارية.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                       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د) صناديق الاستثمار.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2686FD42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23AE8AB8">
      <w:pPr>
        <w:pStyle w:val="style0"/>
        <w:numPr>
          <w:ilvl w:val="0"/>
          <w:numId w:val="1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البرنامج الحاسوبي أو النظام الذكي الذي يستخدم تقنيات الذكاء الاصطناعي لتقديم استشارات مالية وإدارة المحافظ آلياً يُسمى:</w:t>
      </w:r>
    </w:p>
    <w:p w14:paraId="2C12DAB2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br/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أ) روبوتات التداول.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                           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ب) المستشار الآلي.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6A5CB282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709B8DE6">
      <w:pPr>
        <w:pStyle w:val="style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 w:hint="cs"/>
          <w:color w:val="1f1f1f"/>
          <w:sz w:val="28"/>
          <w:szCs w:val="28"/>
          <w:bdr w:val="none" w:sz="0" w:space="0" w:color="auto" w:frame="true"/>
          <w:rtl/>
        </w:rPr>
        <w:t xml:space="preserve">      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ج) منصات التداول الإلكتروني.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                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د) التطبيقات المالية.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1A9F94FE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7723A62B">
      <w:pPr>
        <w:pStyle w:val="style0"/>
        <w:numPr>
          <w:ilvl w:val="0"/>
          <w:numId w:val="1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المستثمر الذي يُفضل الاستثمارات ذات المخاطر المنخفضة ويحرص على حفظ رأس المال بدلا من تحقيق أرباح كثيرة هو:</w:t>
      </w:r>
    </w:p>
    <w:p w14:paraId="0B09F243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br/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أ) المستثمر المغامر.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                           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ب) المستثمر المعتدل.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179FBDC6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6B019617">
      <w:pPr>
        <w:pStyle w:val="style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 w:hint="cs"/>
          <w:color w:val="1f1f1f"/>
          <w:sz w:val="28"/>
          <w:szCs w:val="28"/>
          <w:bdr w:val="none" w:sz="0" w:space="0" w:color="auto" w:frame="true"/>
          <w:rtl/>
        </w:rPr>
        <w:t xml:space="preserve">     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ج) المستثمر المتحفظ.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                              </w:t>
      </w:r>
      <w:r>
        <w:rPr>
          <w:rFonts w:ascii="Arial" w:cs="Arial" w:hAnsi="Arial"/>
          <w:color w:val="1f1f1f"/>
          <w:sz w:val="28"/>
          <w:szCs w:val="28"/>
          <w:rtl/>
        </w:rPr>
        <w:t>د) المستثمر الرقمي.</w:t>
      </w:r>
    </w:p>
    <w:p w14:paraId="36E7E671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79806114">
      <w:pPr>
        <w:pStyle w:val="style0"/>
        <w:numPr>
          <w:ilvl w:val="0"/>
          <w:numId w:val="1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من التحديات الاقتصادية التي تواجه الاستثمار:</w:t>
      </w:r>
    </w:p>
    <w:p w14:paraId="059038CF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br/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أ) نقص العمالة المؤهلة.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                      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ب) التضخم وأسعار الفائدة.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08E001C5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59D95EA1">
      <w:pPr>
        <w:pStyle w:val="style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 w:hint="cs"/>
          <w:color w:val="1f1f1f"/>
          <w:sz w:val="28"/>
          <w:szCs w:val="28"/>
          <w:bdr w:val="none" w:sz="0" w:space="0" w:color="auto" w:frame="true"/>
          <w:rtl/>
        </w:rPr>
        <w:t xml:space="preserve">      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ج) الإجراءات الحكومية الطويلة والمعقدة.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    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د) دوران العمل.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03101C83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1C226EC9">
      <w:pPr>
        <w:pStyle w:val="style0"/>
        <w:outlineLvl w:val="3"/>
        <w:rPr>
          <w:rFonts w:ascii="Arial" w:cs="Arial" w:hAnsi="Arial"/>
          <w:b/>
          <w:bCs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السؤال الثاني: أضع إشارة (</w:t>
      </w:r>
      <w:r>
        <w:rPr>
          <w:rFonts w:ascii="Segoe UI Symbol" w:cs="Segoe UI Symbol" w:hAnsi="Segoe UI Symbo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✓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) </w:t>
      </w:r>
      <w:r>
        <w:rPr>
          <w:rFonts w:ascii="Arial" w:cs="Arial" w:hAnsi="Aria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بجانب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</w:t>
      </w:r>
      <w:r>
        <w:rPr>
          <w:rFonts w:ascii="Arial" w:cs="Arial" w:hAnsi="Aria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العبارة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</w:t>
      </w:r>
      <w:r>
        <w:rPr>
          <w:rFonts w:ascii="Arial" w:cs="Arial" w:hAnsi="Aria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الصحيحة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</w:t>
      </w:r>
      <w:r>
        <w:rPr>
          <w:rFonts w:ascii="Arial" w:cs="Arial" w:hAnsi="Aria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وإشارة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(</w:t>
      </w:r>
      <w:r>
        <w:rPr>
          <w:rFonts w:ascii="Segoe UI Symbol" w:cs="Segoe UI Symbol" w:hAnsi="Segoe UI Symbo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✗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) </w:t>
      </w:r>
      <w:r>
        <w:rPr>
          <w:rFonts w:ascii="Arial" w:cs="Arial" w:hAnsi="Aria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بجانب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</w:t>
      </w:r>
      <w:r>
        <w:rPr>
          <w:rFonts w:ascii="Arial" w:cs="Arial" w:hAnsi="Aria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العبارة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</w:t>
      </w:r>
      <w:r>
        <w:rPr>
          <w:rFonts w:ascii="Arial" w:cs="Arial" w:hAnsi="Aria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غير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</w:t>
      </w:r>
      <w:r>
        <w:rPr>
          <w:rFonts w:ascii="Arial" w:cs="Arial" w:hAnsi="Aria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الصحيحة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</w:t>
      </w:r>
      <w:r>
        <w:rPr>
          <w:rFonts w:ascii="Arial" w:cs="Arial" w:hAnsi="Aria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في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</w:t>
      </w:r>
      <w:r>
        <w:rPr>
          <w:rFonts w:ascii="Arial" w:cs="Arial" w:hAnsi="Aria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ما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</w:t>
      </w:r>
      <w:r>
        <w:rPr>
          <w:rFonts w:ascii="Arial" w:cs="Arial" w:hAnsi="Aria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يأتي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(8 </w:t>
      </w:r>
      <w:r>
        <w:rPr>
          <w:rFonts w:ascii="Arial" w:cs="Arial" w:hAnsi="Aria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علامات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):</w:t>
      </w:r>
    </w:p>
    <w:p w14:paraId="7000DA67">
      <w:pPr>
        <w:pStyle w:val="style0"/>
        <w:numPr>
          <w:ilvl w:val="0"/>
          <w:numId w:val="9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 xml:space="preserve">( </w:t>
      </w:r>
      <w:r>
        <w:rPr>
          <w:rFonts w:ascii="Arial" w:cs="Arial" w:hAnsi="Arial" w:hint="cs"/>
          <w:color w:val="1f1f1f"/>
          <w:sz w:val="28"/>
          <w:szCs w:val="28"/>
          <w:bdr w:val="none" w:sz="0" w:space="0" w:color="auto" w:frame="true"/>
          <w:rtl/>
        </w:rPr>
        <w:t xml:space="preserve">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) يُعَدُّ التنويع استراتيجية أساسية لتقليل المخاطر وزيادة فرص تحقيق عوائد مستقرة على المدى الطويل.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1629A13C">
      <w:pPr>
        <w:pStyle w:val="style0"/>
        <w:rPr>
          <w:rFonts w:ascii="Arial" w:cs="Arial" w:hAnsi="Arial"/>
          <w:color w:val="1f1f1f"/>
          <w:sz w:val="28"/>
          <w:szCs w:val="28"/>
          <w:rtl/>
        </w:rPr>
      </w:pPr>
    </w:p>
    <w:p w14:paraId="63680FC1">
      <w:pPr>
        <w:pStyle w:val="style0"/>
        <w:numPr>
          <w:ilvl w:val="0"/>
          <w:numId w:val="9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 xml:space="preserve">( </w:t>
      </w:r>
      <w:r>
        <w:rPr>
          <w:rFonts w:ascii="Arial" w:cs="Arial" w:hAnsi="Arial" w:hint="cs"/>
          <w:color w:val="1f1f1f"/>
          <w:sz w:val="28"/>
          <w:szCs w:val="28"/>
          <w:bdr w:val="none" w:sz="0" w:space="0" w:color="auto" w:frame="true"/>
          <w:rtl/>
        </w:rPr>
        <w:t xml:space="preserve">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) تشمل الأصول غير الملموسة أصولاً مثل الأراضي والمباني والسيارات.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2A313B0D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</w:p>
    <w:p w14:paraId="3DB336B1">
      <w:pPr>
        <w:pStyle w:val="style0"/>
        <w:numPr>
          <w:ilvl w:val="0"/>
          <w:numId w:val="9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 xml:space="preserve">( </w:t>
      </w:r>
      <w:r>
        <w:rPr>
          <w:rFonts w:ascii="Arial" w:cs="Arial" w:hAnsi="Arial" w:hint="cs"/>
          <w:color w:val="1f1f1f"/>
          <w:sz w:val="28"/>
          <w:szCs w:val="28"/>
          <w:bdr w:val="none" w:sz="0" w:space="0" w:color="auto" w:frame="true"/>
          <w:rtl/>
        </w:rPr>
        <w:t xml:space="preserve">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) يراعي الاستثمار الأخلاقي العوامل البيئية والاجتماعية إلى جانب تحقيق الأرباح.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1F45FD65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</w:p>
    <w:p w14:paraId="5B16BE0B">
      <w:pPr>
        <w:pStyle w:val="style0"/>
        <w:numPr>
          <w:ilvl w:val="0"/>
          <w:numId w:val="9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(</w:t>
      </w:r>
      <w:r>
        <w:rPr>
          <w:rFonts w:ascii="Arial" w:cs="Arial" w:hAnsi="Arial" w:hint="cs"/>
          <w:color w:val="1f1f1f"/>
          <w:sz w:val="28"/>
          <w:szCs w:val="28"/>
          <w:bdr w:val="none" w:sz="0" w:space="0" w:color="auto" w:frame="true"/>
          <w:rtl/>
        </w:rPr>
        <w:t xml:space="preserve">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 xml:space="preserve"> ) تتأثر قيمة الأسهم العادية والممتازة بحقوق التصويت؛ إذ يحمل حامل الأسهم العادية حق التصويت في اجتماعات الجمعية العمومية.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1285883C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</w:p>
    <w:p w14:paraId="27C83047">
      <w:pPr>
        <w:pStyle w:val="style0"/>
        <w:outlineLvl w:val="3"/>
        <w:rPr>
          <w:rFonts w:ascii="Arial" w:cs="Arial" w:hAnsi="Arial"/>
          <w:b/>
          <w:bCs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السؤال الثالث: أسئلة مقالية وتوضيحية (12 علامة):</w:t>
      </w:r>
    </w:p>
    <w:p w14:paraId="45F0DC66">
      <w:pPr>
        <w:pStyle w:val="style0"/>
        <w:numPr>
          <w:ilvl w:val="0"/>
          <w:numId w:val="10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أوضح المقصود بمفهوم "المناخ الاستثماري"؟ (علامتان)</w:t>
      </w:r>
    </w:p>
    <w:p w14:paraId="44440F45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</w:p>
    <w:p w14:paraId="6A60FF16">
      <w:pPr>
        <w:pStyle w:val="style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626E681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3D65B1D7">
      <w:pPr>
        <w:pStyle w:val="style0"/>
        <w:numPr>
          <w:ilvl w:val="0"/>
          <w:numId w:val="10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أذكر ثلاثة من أسس الاستثمار: (3 علامات)</w:t>
      </w:r>
    </w:p>
    <w:p w14:paraId="7F70A00D">
      <w:pPr>
        <w:pStyle w:val="style179"/>
        <w:numPr>
          <w:ilvl w:val="0"/>
          <w:numId w:val="15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1EB91DB8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3EB5D8C3">
      <w:pPr>
        <w:pStyle w:val="style179"/>
        <w:numPr>
          <w:ilvl w:val="0"/>
          <w:numId w:val="14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61497E2A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5B79FC7B">
      <w:pPr>
        <w:pStyle w:val="style179"/>
        <w:numPr>
          <w:ilvl w:val="0"/>
          <w:numId w:val="14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71D7D1BF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7F968F22">
      <w:pPr>
        <w:pStyle w:val="style0"/>
        <w:numPr>
          <w:ilvl w:val="0"/>
          <w:numId w:val="10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علل ما يأتي: (علامتان)</w:t>
      </w:r>
    </w:p>
    <w:p w14:paraId="25DA5AAA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br/>
      </w:r>
      <w:r>
        <w:rPr>
          <w:rFonts w:ascii="Arial" w:cs="Arial" w:hAnsi="Arial"/>
          <w:color w:val="1f1f1f"/>
          <w:sz w:val="28"/>
          <w:szCs w:val="28"/>
          <w:rtl/>
        </w:rPr>
        <w:t xml:space="preserve">أ) 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يُعد الاستثمار في العقارات وسيلة فعالة لمواجهة التضخم:</w:t>
      </w:r>
    </w:p>
    <w:p w14:paraId="0054C6DC">
      <w:pPr>
        <w:pStyle w:val="style0"/>
        <w:rPr>
          <w:rFonts w:ascii="Arial" w:cs="Arial" w:hAnsi="Arial"/>
          <w:color w:val="1f1f1f"/>
          <w:sz w:val="28"/>
          <w:szCs w:val="28"/>
          <w:rtl/>
        </w:rPr>
      </w:pPr>
    </w:p>
    <w:p w14:paraId="361D2B9E">
      <w:pPr>
        <w:pStyle w:val="style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181F0B31">
      <w:pPr>
        <w:pStyle w:val="style0"/>
        <w:ind w:left="2160"/>
        <w:rPr>
          <w:rFonts w:ascii="Arial" w:cs="Arial" w:hAnsi="Arial"/>
          <w:color w:val="1f1f1f"/>
          <w:sz w:val="28"/>
          <w:szCs w:val="28"/>
          <w:rtl/>
        </w:rPr>
      </w:pPr>
    </w:p>
    <w:p w14:paraId="79FD1284">
      <w:pPr>
        <w:pStyle w:val="style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ب) 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إقبال كثير من الأشخاص على الاستثمار في صناديق الاستثمار:</w:t>
      </w:r>
    </w:p>
    <w:p w14:paraId="6C117235">
      <w:pPr>
        <w:pStyle w:val="style0"/>
        <w:rPr>
          <w:rFonts w:ascii="Arial" w:cs="Arial" w:hAnsi="Arial"/>
          <w:color w:val="1f1f1f"/>
          <w:sz w:val="28"/>
          <w:szCs w:val="28"/>
          <w:rtl/>
        </w:rPr>
      </w:pPr>
    </w:p>
    <w:p w14:paraId="5E528997">
      <w:pPr>
        <w:pStyle w:val="style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1F755D5E">
      <w:pPr>
        <w:pStyle w:val="style0"/>
        <w:ind w:left="2160"/>
        <w:rPr>
          <w:rFonts w:ascii="Arial" w:cs="Arial" w:hAnsi="Arial"/>
          <w:color w:val="1f1f1f"/>
          <w:sz w:val="28"/>
          <w:szCs w:val="28"/>
          <w:rtl/>
        </w:rPr>
      </w:pPr>
    </w:p>
    <w:p w14:paraId="748BAE1F">
      <w:pPr>
        <w:pStyle w:val="style0"/>
        <w:numPr>
          <w:ilvl w:val="0"/>
          <w:numId w:val="10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أذكر أربعاً من الأدوات الرقمية المستخدمة في الاستثمار: (علامتان)</w:t>
      </w:r>
    </w:p>
    <w:p w14:paraId="7EFC9A72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br/>
      </w:r>
      <w:r>
        <w:rPr>
          <w:rFonts w:ascii="Arial" w:cs="Arial" w:hAnsi="Arial"/>
          <w:color w:val="1f1f1f"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3BBDF303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01208DA4">
      <w:pPr>
        <w:pStyle w:val="style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  </w:t>
      </w:r>
      <w:r>
        <w:rPr>
          <w:rFonts w:ascii="Arial" w:cs="Arial" w:hAnsi="Arial"/>
          <w:color w:val="1f1f1f"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58E66DFF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1B16A9EE">
      <w:pPr>
        <w:pStyle w:val="style0"/>
        <w:numPr>
          <w:ilvl w:val="0"/>
          <w:numId w:val="10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صنف الأشياء الآتية (الأسهم، براءات الاختراع، الأراضي) في جدول أنواع الاستثمار حسب طبيعة الأصول: (3 علامات)</w:t>
      </w:r>
    </w:p>
    <w:p w14:paraId="78A34798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rtl/>
        </w:rPr>
        <w:t>أ) الأصول الحقيقية: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        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</w:t>
      </w:r>
      <w:r>
        <w:rPr>
          <w:rFonts w:ascii="Arial" w:cs="Arial" w:hAnsi="Arial"/>
          <w:color w:val="1f1f1f"/>
          <w:sz w:val="28"/>
          <w:szCs w:val="28"/>
          <w:rtl/>
        </w:rPr>
        <w:t>ب) الأصول المالية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: 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</w:t>
      </w:r>
      <w:r>
        <w:rPr>
          <w:rFonts w:ascii="Arial" w:cs="Arial" w:hAnsi="Arial"/>
          <w:color w:val="1f1f1f"/>
          <w:sz w:val="28"/>
          <w:szCs w:val="28"/>
          <w:rtl/>
        </w:rPr>
        <w:t>ج) الأصول غير الملموسة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: </w:t>
      </w:r>
    </w:p>
    <w:p w14:paraId="56DB52EE">
      <w:pPr>
        <w:pStyle w:val="style0"/>
        <w:spacing w:lineRule="auto" w:line="360"/>
        <w:jc w:val="center"/>
        <w:rPr>
          <w:rFonts w:cs="Monotype Koufi"/>
          <w:b/>
          <w:bCs/>
          <w:sz w:val="28"/>
          <w:szCs w:val="28"/>
          <w:rtl/>
          <w:lang w:bidi="ar-JO"/>
        </w:rPr>
      </w:pPr>
      <w:r>
        <w:rPr>
          <w:rFonts w:cs="Arial" w:hint="cs"/>
          <w:b/>
          <w:bCs/>
          <w:sz w:val="28"/>
          <w:szCs w:val="28"/>
          <w:rtl/>
          <w:lang w:bidi="ar-JO"/>
        </w:rPr>
        <w:t>مع أمنياتي للجميع بالتفوق والإبداع</w:t>
      </w:r>
    </w:p>
    <w:p w14:paraId="40973503">
      <w:pPr>
        <w:pStyle w:val="style0"/>
        <w:spacing w:lineRule="auto" w:line="276"/>
        <w:jc w:val="center"/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cs="Arial" w:hint="cs"/>
          <w:b/>
          <w:bCs/>
          <w:noProof/>
          <w:sz w:val="28"/>
          <w:szCs w:val="28"/>
          <w:rtl/>
          <w:lang w:val="ar-JO" w:bidi="ar-JO"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2002155</wp:posOffset>
                </wp:positionH>
                <wp:positionV relativeFrom="paragraph">
                  <wp:posOffset>12065</wp:posOffset>
                </wp:positionV>
                <wp:extent cx="314325" cy="257175"/>
                <wp:effectExtent l="0" t="0" r="28575" b="28575"/>
                <wp:wrapNone/>
                <wp:docPr id="1027" name="وجه ضاحك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14325" cy="257175"/>
                        </a:xfrm>
                        <a:prstGeom prst="smileyFace"/>
                        <a:solidFill>
                          <a:srgbClr val="ffffff"/>
                        </a:solidFill>
                        <a:ln cmpd="sng" cap="flat" w="12700">
                          <a:solidFill>
                            <a:srgbClr val="70ad47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rect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1027" type="#_x0000_t96" adj="17520," fillcolor="white" style="position:absolute;margin-left:157.65pt;margin-top:0.95pt;width:24.75pt;height:20.25pt;z-index:2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color="#70ad47" weight="1.0pt"/>
                <v:fill/>
              </v:shape>
            </w:pict>
          </mc:Fallback>
        </mc:AlternateConten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معلمة المادة : 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4DC78261">
      <w:pPr>
        <w:pStyle w:val="style0"/>
        <w:spacing w:lineRule="auto" w:line="276"/>
        <w:jc w:val="center"/>
        <w:rPr>
          <w:rFonts w:ascii="Arial" w:cs="Arial" w:hAnsi="Arial"/>
          <w:color w:val="1f1f1f"/>
          <w:sz w:val="28"/>
          <w:szCs w:val="28"/>
          <w:rtl/>
        </w:rPr>
      </w:pPr>
    </w:p>
    <w:p w14:paraId="12E5EC96">
      <w:pPr>
        <w:pStyle w:val="style0"/>
        <w:outlineLvl w:val="2"/>
        <w:rPr>
          <w:rFonts w:ascii="Arial" w:cs="Arial" w:hAnsi="Arial"/>
          <w:b/>
          <w:bCs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الإجابة النموذجية للاختبار</w:t>
      </w:r>
      <w:r>
        <w:rPr>
          <w:rFonts w:ascii="Arial" w:cs="Arial" w:hAnsi="Aria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شهر الأول مالية تاسع</w:t>
      </w:r>
    </w:p>
    <w:p w14:paraId="19B1E7A6">
      <w:pPr>
        <w:pStyle w:val="style0"/>
        <w:outlineLvl w:val="3"/>
        <w:rPr>
          <w:rFonts w:ascii="Arial" w:cs="Arial" w:hAnsi="Arial"/>
          <w:b/>
          <w:bCs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إجابة السؤال الأول (اختيار من متعدد):</w:t>
      </w:r>
    </w:p>
    <w:p w14:paraId="69C285FB">
      <w:pPr>
        <w:pStyle w:val="style0"/>
        <w:numPr>
          <w:ilvl w:val="0"/>
          <w:numId w:val="11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ب)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 xml:space="preserve"> استخدام الأموال في أصول أو مشروعات بهدف تحقيق دخل أو زيادة في القيمة بمرور الوقت.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5D3D05BA">
      <w:pPr>
        <w:pStyle w:val="style0"/>
        <w:numPr>
          <w:ilvl w:val="0"/>
          <w:numId w:val="11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ج)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 xml:space="preserve"> الاستثمارات العقارية.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02A11CAE">
      <w:pPr>
        <w:pStyle w:val="style0"/>
        <w:numPr>
          <w:ilvl w:val="0"/>
          <w:numId w:val="11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ب)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 xml:space="preserve"> المستشار الآلي.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205055AA">
      <w:pPr>
        <w:pStyle w:val="style0"/>
        <w:numPr>
          <w:ilvl w:val="0"/>
          <w:numId w:val="11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ج)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 xml:space="preserve"> المستثمر المتحفظ.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44F3271C">
      <w:pPr>
        <w:pStyle w:val="style0"/>
        <w:numPr>
          <w:ilvl w:val="0"/>
          <w:numId w:val="11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ب)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 xml:space="preserve"> التضخم وأسعار الفائدة.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3F303A88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</w:p>
    <w:p w14:paraId="384259AF">
      <w:pPr>
        <w:pStyle w:val="style0"/>
        <w:outlineLvl w:val="3"/>
        <w:rPr>
          <w:rFonts w:ascii="Arial" w:cs="Arial" w:hAnsi="Arial"/>
          <w:b/>
          <w:bCs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إجابة السؤال الثاني (صح وخطأ):</w:t>
      </w:r>
    </w:p>
    <w:p w14:paraId="7E3AF77D">
      <w:pPr>
        <w:pStyle w:val="style0"/>
        <w:numPr>
          <w:ilvl w:val="0"/>
          <w:numId w:val="12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( </w:t>
      </w:r>
      <w:r>
        <w:rPr>
          <w:rFonts w:ascii="Segoe UI Symbol" w:cs="Segoe UI Symbol" w:hAnsi="Segoe UI Symbo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✓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)</w:t>
      </w:r>
    </w:p>
    <w:p w14:paraId="2E423CE9">
      <w:pPr>
        <w:pStyle w:val="style0"/>
        <w:numPr>
          <w:ilvl w:val="0"/>
          <w:numId w:val="12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( </w:t>
      </w:r>
      <w:r>
        <w:rPr>
          <w:rFonts w:ascii="Segoe UI Symbol" w:cs="Segoe UI Symbol" w:hAnsi="Segoe UI Symbo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✗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)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  <w:r>
        <w:rPr>
          <w:rFonts w:ascii="Arial" w:cs="Arial" w:hAnsi="Arial"/>
          <w:i/>
          <w:iCs/>
          <w:color w:val="1f1f1f"/>
          <w:sz w:val="28"/>
          <w:szCs w:val="28"/>
          <w:bdr w:val="none" w:sz="0" w:space="0" w:color="auto" w:frame="true"/>
          <w:rtl/>
        </w:rPr>
        <w:t>(التصحيح: الأراضي والمباني من الأصول الملموسة وليست غير الملموسة)</w:t>
      </w:r>
    </w:p>
    <w:p w14:paraId="1377E2BA">
      <w:pPr>
        <w:pStyle w:val="style0"/>
        <w:numPr>
          <w:ilvl w:val="0"/>
          <w:numId w:val="12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( </w:t>
      </w:r>
      <w:r>
        <w:rPr>
          <w:rFonts w:ascii="Segoe UI Symbol" w:cs="Segoe UI Symbol" w:hAnsi="Segoe UI Symbo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✓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)</w:t>
      </w:r>
    </w:p>
    <w:p w14:paraId="6A86B546">
      <w:pPr>
        <w:pStyle w:val="style0"/>
        <w:numPr>
          <w:ilvl w:val="0"/>
          <w:numId w:val="12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( </w:t>
      </w:r>
      <w:r>
        <w:rPr>
          <w:rFonts w:ascii="Segoe UI Symbol" w:cs="Segoe UI Symbol" w:hAnsi="Segoe UI Symbol" w:hint="cs"/>
          <w:b/>
          <w:bCs/>
          <w:color w:val="1f1f1f"/>
          <w:sz w:val="28"/>
          <w:szCs w:val="28"/>
          <w:bdr w:val="none" w:sz="0" w:space="0" w:color="auto" w:frame="true"/>
          <w:rtl/>
        </w:rPr>
        <w:t>✓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 xml:space="preserve"> )</w:t>
      </w:r>
    </w:p>
    <w:p w14:paraId="4CE53CD5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</w:p>
    <w:p w14:paraId="115BA1A1">
      <w:pPr>
        <w:pStyle w:val="style0"/>
        <w:outlineLvl w:val="3"/>
        <w:rPr>
          <w:rFonts w:ascii="Arial" w:cs="Arial" w:hAnsi="Arial"/>
          <w:b/>
          <w:bCs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إجابة السؤال الثالث (الأسئلة المقالية):</w:t>
      </w:r>
    </w:p>
    <w:p w14:paraId="035466B2">
      <w:pPr>
        <w:pStyle w:val="style0"/>
        <w:numPr>
          <w:ilvl w:val="0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المناخ الاستثماري: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 xml:space="preserve"> هو البيئة المحيطة بالمشروعات الإنتاجية التي يُستثمر فيها، مثل: درجة الاستقرار السياسي، والبنية التحتية، وتوافر التمويل، والشفافية، والأنظمة الضريبية.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57F47FE6">
      <w:pPr>
        <w:pStyle w:val="style0"/>
        <w:ind w:left="720"/>
        <w:rPr>
          <w:rFonts w:ascii="Arial" w:cs="Arial" w:hAnsi="Arial"/>
          <w:color w:val="1f1f1f"/>
          <w:sz w:val="28"/>
          <w:szCs w:val="28"/>
          <w:rtl/>
        </w:rPr>
      </w:pPr>
    </w:p>
    <w:p w14:paraId="521BBA3B">
      <w:pPr>
        <w:pStyle w:val="style0"/>
        <w:numPr>
          <w:ilvl w:val="0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ثلاثة من أسس الاستثمار (يذكر ثلاثة):</w:t>
      </w:r>
    </w:p>
    <w:p w14:paraId="5F0B14F9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اعتماد الادخار نهجاً في الحياة.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29FB34A7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التخطيط (تحديد الأهداف ووضع خطة استثمارية).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4A199691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التعلم المستمر والاستثمار في المعرفة.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17C19DFE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دراسة المخاطر والعوائد المتوقعة.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44A9E32F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تحليل السوق وفهم القوانين.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447D58EB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التنويع ومراقبة الاستثمارات.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17C8F6DB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52604F0F">
      <w:pPr>
        <w:pStyle w:val="style0"/>
        <w:numPr>
          <w:ilvl w:val="0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التعليل:</w:t>
      </w:r>
      <w:r>
        <w:rPr>
          <w:rFonts w:ascii="Arial" w:cs="Arial" w:hAnsi="Arial"/>
          <w:color w:val="1f1f1f"/>
          <w:sz w:val="28"/>
          <w:szCs w:val="28"/>
          <w:rtl/>
        </w:rPr>
        <w:br/>
      </w:r>
    </w:p>
    <w:p w14:paraId="53C5D7FA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أ) لأن العقارات تحتفظ بقيمتها عند ارتفاع معدلات التضخم بل قد تزداد هذه القيمة، مما يحافظ على القوة الشرائية للمستثمر.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67FB7061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34131BEB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ب) لأنها قليلة المخاطر لتنوع الاستثمار في مجموعة من الأصول، ولتولي خبراء ماليين إدارتها، إضافة إلى سهولة التداول والبيع والشراء.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5C22E8AD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701D32EA">
      <w:pPr>
        <w:pStyle w:val="style0"/>
        <w:numPr>
          <w:ilvl w:val="0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أربع من الأدوات الرقمية (يذكر أربعاً):</w:t>
      </w:r>
    </w:p>
    <w:p w14:paraId="7FC2258D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المنصات الرقمية (ومنصات التداول، والتعليمية، والاستثمار الآلي).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47E408DD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الذكاء الاصطناعي وأدوات تحليل البيانات.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118F9CE9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التطبيقات المالية.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4D8363AC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روبوتات التداول.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44938CD5">
      <w:pPr>
        <w:pStyle w:val="style0"/>
        <w:ind w:left="1440"/>
        <w:rPr>
          <w:rFonts w:ascii="Arial" w:cs="Arial" w:hAnsi="Arial"/>
          <w:color w:val="1f1f1f"/>
          <w:sz w:val="28"/>
          <w:szCs w:val="28"/>
          <w:rtl/>
        </w:rPr>
      </w:pPr>
    </w:p>
    <w:p w14:paraId="5BD9BB59">
      <w:pPr>
        <w:pStyle w:val="style0"/>
        <w:numPr>
          <w:ilvl w:val="0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تصنيف الاستثمارات بحسب طبيعة الأصول:</w:t>
      </w:r>
    </w:p>
    <w:p w14:paraId="3F4279EE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  <w:rtl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 xml:space="preserve">أ) الأصول الحقيقية: 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الأراضي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  <w:r>
        <w:rPr>
          <w:rFonts w:ascii="Arial" w:cs="Arial" w:hAnsi="Arial" w:hint="cs"/>
          <w:color w:val="1f1f1f"/>
          <w:sz w:val="28"/>
          <w:szCs w:val="28"/>
          <w:rtl/>
        </w:rPr>
        <w:t xml:space="preserve">                       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 xml:space="preserve">ب) الأصول المالية: 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الأسهم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p w14:paraId="61B25EA6">
      <w:pPr>
        <w:pStyle w:val="style0"/>
        <w:numPr>
          <w:ilvl w:val="1"/>
          <w:numId w:val="13"/>
        </w:numPr>
        <w:rPr>
          <w:rFonts w:ascii="Arial" w:cs="Arial" w:hAnsi="Arial"/>
          <w:color w:val="1f1f1f"/>
          <w:sz w:val="28"/>
          <w:szCs w:val="28"/>
        </w:rPr>
      </w:pP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 xml:space="preserve">ج) الأصول غير الملموسة: </w:t>
      </w:r>
      <w:r>
        <w:rPr>
          <w:rFonts w:ascii="Arial" w:cs="Arial" w:hAnsi="Arial"/>
          <w:b/>
          <w:bCs/>
          <w:color w:val="1f1f1f"/>
          <w:sz w:val="28"/>
          <w:szCs w:val="28"/>
          <w:bdr w:val="none" w:sz="0" w:space="0" w:color="auto" w:frame="true"/>
          <w:rtl/>
        </w:rPr>
        <w:t>براءات الاختراع</w:t>
      </w:r>
      <w:r>
        <w:rPr>
          <w:rFonts w:ascii="Arial" w:cs="Arial" w:hAnsi="Arial"/>
          <w:color w:val="1f1f1f"/>
          <w:sz w:val="28"/>
          <w:szCs w:val="28"/>
          <w:bdr w:val="none" w:sz="0" w:space="0" w:color="auto" w:frame="true"/>
          <w:rtl/>
        </w:rPr>
        <w:t>.</w:t>
      </w:r>
      <w:r>
        <w:rPr>
          <w:rFonts w:ascii="Arial" w:cs="Arial" w:hAnsi="Arial"/>
          <w:color w:val="1f1f1f"/>
          <w:sz w:val="28"/>
          <w:szCs w:val="28"/>
          <w:rtl/>
        </w:rPr>
        <w:t xml:space="preserve"> </w:t>
      </w:r>
    </w:p>
    <w:sectPr>
      <w:footerReference w:type="default" r:id="rId3"/>
      <w:pgSz w:w="11906" w:h="16838" w:orient="portrait"/>
      <w:pgMar w:top="567" w:right="849" w:bottom="567" w:left="567" w:header="709" w:footer="709" w:gutter="0"/>
      <w:pgBorders w:zOrder="front" w:display="allPages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002020203"/>
    <w:charset w:val="00"/>
    <w:family w:val="swiss"/>
    <w:pitch w:val="variable"/>
    <w:sig w:usb0="800001E3" w:usb1="1200FFEF" w:usb2="00040000" w:usb3="00000000" w:csb0="00000001" w:csb1="00000000"/>
  </w:font>
  <w:font w:name="Monotype Koufi">
    <w:altName w:val="MS Gothic"/>
    <w:panose1 w:val="00000000000000000000"/>
    <w:charset w:val="b2"/>
    <w:family w:val="auto"/>
    <w:pitch w:val="variable"/>
    <w:sig w:usb0="00002000" w:usb1="03D40006" w:usb2="02620000" w:usb3="00000000" w:csb0="00000040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41C99663"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A08716D"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7B3AD3F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">
    <w:nsid w:val="00000001"/>
    <w:multiLevelType w:val="multilevel"/>
    <w:tmpl w:val="FABC94F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hybridMultilevel"/>
    <w:tmpl w:val="25C68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531AA044"/>
    <w:lvl w:ilvl="0" w:tplc="6922CA3E">
      <w:start w:val="1"/>
      <w:numFmt w:val="arabicAlpha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0000004"/>
    <w:multiLevelType w:val="multilevel"/>
    <w:tmpl w:val="54C2EDD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5">
    <w:nsid w:val="00000005"/>
    <w:multiLevelType w:val="multilevel"/>
    <w:tmpl w:val="DF0EDCC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multilevel"/>
    <w:tmpl w:val="1AA6DB4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7">
    <w:nsid w:val="00000007"/>
    <w:multiLevelType w:val="multilevel"/>
    <w:tmpl w:val="FF8ADF1E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">
    <w:nsid w:val="00000008"/>
    <w:multiLevelType w:val="hybridMultilevel"/>
    <w:tmpl w:val="7F1A6EC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00000009"/>
    <w:multiLevelType w:val="multilevel"/>
    <w:tmpl w:val="DA28A83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0">
    <w:nsid w:val="0000000A"/>
    <w:multiLevelType w:val="multilevel"/>
    <w:tmpl w:val="B7EC65C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1">
    <w:nsid w:val="0000000B"/>
    <w:multiLevelType w:val="multilevel"/>
    <w:tmpl w:val="0BF63CC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2">
    <w:nsid w:val="0000000C"/>
    <w:multiLevelType w:val="multilevel"/>
    <w:tmpl w:val="9AE4B92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3">
    <w:nsid w:val="0000000D"/>
    <w:multiLevelType w:val="multilevel"/>
    <w:tmpl w:val="1FA096D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4">
    <w:nsid w:val="0000000E"/>
    <w:multiLevelType w:val="hybridMultilevel"/>
    <w:tmpl w:val="3F261D56"/>
    <w:lvl w:ilvl="0" w:tplc="6922CA3E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multilevel"/>
    <w:tmpl w:val="C35C391E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6">
    <w:nsid w:val="00000010"/>
    <w:multiLevelType w:val="hybridMultilevel"/>
    <w:tmpl w:val="D1F898E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11"/>
  </w:num>
  <w:num w:numId="5">
    <w:abstractNumId w:val="15"/>
  </w:num>
  <w:num w:numId="6">
    <w:abstractNumId w:val="13"/>
  </w:num>
  <w:num w:numId="7">
    <w:abstractNumId w:val="9"/>
  </w:num>
  <w:num w:numId="8">
    <w:abstractNumId w:val="16"/>
  </w:num>
  <w:num w:numId="9">
    <w:abstractNumId w:val="5"/>
  </w:num>
  <w:num w:numId="10">
    <w:abstractNumId w:val="12"/>
  </w:num>
  <w:num w:numId="11">
    <w:abstractNumId w:val="4"/>
  </w:num>
  <w:num w:numId="12">
    <w:abstractNumId w:val="7"/>
  </w:num>
  <w:num w:numId="13">
    <w:abstractNumId w:val="10"/>
  </w:num>
  <w:num w:numId="14">
    <w:abstractNumId w:val="2"/>
  </w:num>
  <w:num w:numId="15">
    <w:abstractNumId w:val="8"/>
  </w:num>
  <w:num w:numId="16">
    <w:abstractNumId w:val="14"/>
  </w:num>
  <w:num w:numId="17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kern w:val="2"/>
        <w:sz w:val="24"/>
        <w:szCs w:val="24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>
      <w:bidi/>
      <w:spacing w:after="0" w:lineRule="auto" w:line="240"/>
    </w:pPr>
    <w:rPr>
      <w:rFonts w:ascii="Times New Roman" w:cs="Times New Roman" w:eastAsia="Times New Roman" w:hAnsi="Times New Roman"/>
      <w:kern w:val="0"/>
      <w14:ligatures xmlns:w14="http://schemas.microsoft.com/office/word/2010/wordml" w14:val="none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Times New Roman" w:eastAsia="宋体" w:hAnsi="Calibri Light"/>
      <w:color w:val="2f5496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Times New Roman" w:eastAsia="宋体" w:hAnsi="Calibri Light"/>
      <w:color w:val="2f5496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Times New Roman" w:eastAsia="宋体"/>
      <w:color w:val="2f5496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Times New Roman" w:eastAsia="宋体"/>
      <w:i/>
      <w:iCs/>
      <w:color w:val="2f5496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Times New Roman" w:eastAsia="宋体"/>
      <w:color w:val="2f5496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/>
      <w:outlineLvl w:val="5"/>
    </w:pPr>
    <w:rPr>
      <w:rFonts w:cs="Times New Roman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/>
      <w:outlineLvl w:val="6"/>
    </w:pPr>
    <w:rPr>
      <w:rFonts w:cs="Times New Roman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outlineLvl w:val="7"/>
    </w:pPr>
    <w:rPr>
      <w:rFonts w:cs="Times New Roman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outlineLvl w:val="8"/>
    </w:pPr>
    <w:rPr>
      <w:rFonts w:cs="Times New Roman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العنوان 1 Char"/>
    <w:basedOn w:val="style65"/>
    <w:next w:val="style4097"/>
    <w:link w:val="style1"/>
    <w:uiPriority w:val="9"/>
    <w:rPr>
      <w:rFonts w:ascii="Calibri Light" w:cs="Times New Roman" w:eastAsia="宋体" w:hAnsi="Calibri Light"/>
      <w:color w:val="2f5496"/>
      <w:sz w:val="40"/>
      <w:szCs w:val="40"/>
    </w:rPr>
  </w:style>
  <w:style w:type="character" w:customStyle="1" w:styleId="style4098">
    <w:name w:val="عنوان 2 Char"/>
    <w:basedOn w:val="style65"/>
    <w:next w:val="style4098"/>
    <w:link w:val="style2"/>
    <w:uiPriority w:val="9"/>
    <w:rPr>
      <w:rFonts w:ascii="Calibri Light" w:cs="Times New Roman" w:eastAsia="宋体" w:hAnsi="Calibri Light"/>
      <w:color w:val="2f5496"/>
      <w:sz w:val="32"/>
      <w:szCs w:val="32"/>
    </w:rPr>
  </w:style>
  <w:style w:type="character" w:customStyle="1" w:styleId="style4099">
    <w:name w:val="عنوان 3 Char"/>
    <w:basedOn w:val="style65"/>
    <w:next w:val="style4099"/>
    <w:link w:val="style3"/>
    <w:uiPriority w:val="9"/>
    <w:rPr>
      <w:rFonts w:cs="Times New Roman" w:eastAsia="宋体"/>
      <w:color w:val="2f5496"/>
      <w:sz w:val="28"/>
      <w:szCs w:val="28"/>
    </w:rPr>
  </w:style>
  <w:style w:type="character" w:customStyle="1" w:styleId="style4100">
    <w:name w:val="عنوان 4 Char"/>
    <w:basedOn w:val="style65"/>
    <w:next w:val="style4100"/>
    <w:link w:val="style4"/>
    <w:uiPriority w:val="9"/>
    <w:rPr>
      <w:rFonts w:cs="Times New Roman" w:eastAsia="宋体"/>
      <w:i/>
      <w:iCs/>
      <w:color w:val="2f5496"/>
    </w:rPr>
  </w:style>
  <w:style w:type="character" w:customStyle="1" w:styleId="style4101">
    <w:name w:val="عنوان 5 Char"/>
    <w:basedOn w:val="style65"/>
    <w:next w:val="style4101"/>
    <w:link w:val="style5"/>
    <w:uiPriority w:val="9"/>
    <w:rPr>
      <w:rFonts w:cs="Times New Roman" w:eastAsia="宋体"/>
      <w:color w:val="2f5496"/>
    </w:rPr>
  </w:style>
  <w:style w:type="character" w:customStyle="1" w:styleId="style4102">
    <w:name w:val="عنوان 6 Char"/>
    <w:basedOn w:val="style65"/>
    <w:next w:val="style4102"/>
    <w:link w:val="style6"/>
    <w:uiPriority w:val="9"/>
    <w:rPr>
      <w:rFonts w:cs="Times New Roman" w:eastAsia="宋体"/>
      <w:i/>
      <w:iCs/>
      <w:color w:val="595959"/>
    </w:rPr>
  </w:style>
  <w:style w:type="character" w:customStyle="1" w:styleId="style4103">
    <w:name w:val="عنوان 7 Char"/>
    <w:basedOn w:val="style65"/>
    <w:next w:val="style4103"/>
    <w:link w:val="style7"/>
    <w:uiPriority w:val="9"/>
    <w:rPr>
      <w:rFonts w:cs="Times New Roman" w:eastAsia="宋体"/>
      <w:color w:val="595959"/>
    </w:rPr>
  </w:style>
  <w:style w:type="character" w:customStyle="1" w:styleId="style4104">
    <w:name w:val="عنوان 8 Char"/>
    <w:basedOn w:val="style65"/>
    <w:next w:val="style4104"/>
    <w:link w:val="style8"/>
    <w:uiPriority w:val="9"/>
    <w:rPr>
      <w:rFonts w:cs="Times New Roman" w:eastAsia="宋体"/>
      <w:i/>
      <w:iCs/>
      <w:color w:val="272727"/>
    </w:rPr>
  </w:style>
  <w:style w:type="character" w:customStyle="1" w:styleId="style4105">
    <w:name w:val="عنوان 9 Char"/>
    <w:basedOn w:val="style65"/>
    <w:next w:val="style4105"/>
    <w:link w:val="style9"/>
    <w:uiPriority w:val="9"/>
    <w:rPr>
      <w:rFonts w:cs="Times New Roman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/>
      <w:contextualSpacing/>
    </w:pPr>
    <w:rPr>
      <w:rFonts w:ascii="Calibri Light" w:cs="Times New Roman" w:eastAsia="宋体" w:hAnsi="Calibri Light"/>
      <w:spacing w:val="-10"/>
      <w:kern w:val="28"/>
      <w:sz w:val="56"/>
      <w:szCs w:val="56"/>
    </w:rPr>
  </w:style>
  <w:style w:type="character" w:customStyle="1" w:styleId="style4106">
    <w:name w:val="العنوان Char"/>
    <w:basedOn w:val="style65"/>
    <w:next w:val="style4106"/>
    <w:link w:val="style62"/>
    <w:uiPriority w:val="10"/>
    <w:rPr>
      <w:rFonts w:ascii="Calibri Light" w:cs="Times New Roman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Times New Roman" w:eastAsia="宋体"/>
      <w:color w:val="595959"/>
      <w:spacing w:val="15"/>
      <w:sz w:val="28"/>
      <w:szCs w:val="28"/>
    </w:rPr>
  </w:style>
  <w:style w:type="character" w:customStyle="1" w:styleId="style4107">
    <w:name w:val="عنوان فرعي Char"/>
    <w:basedOn w:val="style65"/>
    <w:next w:val="style4107"/>
    <w:link w:val="style74"/>
    <w:uiPriority w:val="11"/>
    <w:rPr>
      <w:rFonts w:cs="Times New Roman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اقتباس Char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f5496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yle4109">
    <w:name w:val="اقتباس مكثف Char"/>
    <w:basedOn w:val="style65"/>
    <w:next w:val="style4109"/>
    <w:link w:val="style181"/>
    <w:uiPriority w:val="30"/>
    <w:rPr>
      <w:i/>
      <w:iCs/>
      <w:color w:val="2f5496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f5496"/>
      <w:spacing w:val="5"/>
    </w:rPr>
  </w:style>
  <w:style w:type="paragraph" w:styleId="style31">
    <w:name w:val="header"/>
    <w:basedOn w:val="style0"/>
    <w:next w:val="style31"/>
    <w:link w:val="style4110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110">
    <w:name w:val="رأس الصفحة Char"/>
    <w:basedOn w:val="style65"/>
    <w:next w:val="style4110"/>
    <w:link w:val="style31"/>
    <w:uiPriority w:val="99"/>
    <w:rPr>
      <w:rFonts w:ascii="Times New Roman" w:cs="Times New Roman" w:eastAsia="Times New Roman" w:hAnsi="Times New Roman"/>
      <w:kern w:val="0"/>
      <w14:ligatures xmlns:w14="http://schemas.microsoft.com/office/word/2010/wordml" w14:val="none"/>
    </w:rPr>
  </w:style>
  <w:style w:type="paragraph" w:styleId="style32">
    <w:name w:val="footer"/>
    <w:basedOn w:val="style0"/>
    <w:next w:val="style32"/>
    <w:link w:val="style4111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111">
    <w:name w:val="تذييل الصفحة Char"/>
    <w:basedOn w:val="style65"/>
    <w:next w:val="style4111"/>
    <w:link w:val="style32"/>
    <w:uiPriority w:val="99"/>
    <w:rPr>
      <w:rFonts w:ascii="Times New Roman" w:cs="Times New Roman" w:eastAsia="Times New Roman" w:hAnsi="Times New Roman"/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54A83-244E-4554-99C5-7B7BE6F23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Words>566</Words>
  <Pages>3</Pages>
  <Characters>4147</Characters>
  <Application>WPS Office</Application>
  <DocSecurity>0</DocSecurity>
  <Paragraphs>115</Paragraphs>
  <ScaleCrop>false</ScaleCrop>
  <LinksUpToDate>false</LinksUpToDate>
  <CharactersWithSpaces>5092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٢٠٢٦-١٠-٠٧T١٨:٣٨:٠٠Z</dcterms:created>
  <dc:creator>Ekram aledwan</dc:creator>
  <lastModifiedBy>SM-S928B</lastModifiedBy>
  <dcterms:modified xsi:type="dcterms:W3CDTF">٢٠٢٦-١٠-٢٦T١٦:٢٨:٢٥Z</dcterms:modified>
  <revision>18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ee8f9c5c14ec4dffaaadb6092410c03f_23</vt:lpwstr>
  </property>
</Properties>
</file>