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-170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noProof/>
          <w:rtl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page">
              <wp:posOffset>2830830</wp:posOffset>
            </wp:positionH>
            <wp:positionV relativeFrom="page">
              <wp:posOffset>547370</wp:posOffset>
            </wp:positionV>
            <wp:extent cx="1028700" cy="777240"/>
            <wp:effectExtent l="19050" t="0" r="0" b="0"/>
            <wp:wrapSquare wrapText="bothSides"/>
            <wp:docPr id="1026" name="image1.png" descr="Description: Description: http://www.moheet.com/image/67/225-300/679515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8700" cy="7772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2804795</wp:posOffset>
                </wp:positionH>
                <wp:positionV relativeFrom="page">
                  <wp:posOffset>554330</wp:posOffset>
                </wp:positionV>
                <wp:extent cx="2779242" cy="1606337"/>
                <wp:effectExtent l="12700" t="12700" r="10160" b="10795"/>
                <wp:wrapNone/>
                <wp:docPr id="1027" name="10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79242" cy="160633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نهاية الفصل الدراسي الثاني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JO"/>
                              </w:rPr>
                              <w:t xml:space="preserve"> لعام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27" arcsize="0.16666667," fillcolor="white" stroked="t" style="position:absolute;margin-left:220.85pt;margin-top:43.65pt;width:218.84pt;height:126.48pt;z-index:3;mso-position-horizontal-relative:page;mso-position-vertical-relative:page;mso-width-relative:page;mso-height-relative:page;mso-wrap-distance-left:0.0pt;mso-wrap-distance-right:0.0pt;visibility:visible;">
                <v:stroke weight="2.5pt"/>
                <v:fill/>
                <v:textbox inset="7.2pt,3.6pt,7.2pt,3.6pt" style="mso-fit-text-to-shape:true;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30"/>
                          <w:szCs w:val="30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اختبار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نهاية الفصل الدراسي الثاني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sz w:val="30"/>
                          <w:szCs w:val="30"/>
                          <w:rtl/>
                          <w:lang w:bidi="ar-JO"/>
                        </w:rPr>
                        <w:t xml:space="preserve"> لعام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52705</wp:posOffset>
                </wp:positionH>
                <wp:positionV relativeFrom="paragraph">
                  <wp:posOffset>118110</wp:posOffset>
                </wp:positionV>
                <wp:extent cx="1440180" cy="297179"/>
                <wp:effectExtent l="12700" t="12700" r="0" b="0"/>
                <wp:wrapNone/>
                <wp:docPr id="1028" name="10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40180" cy="2971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حقل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اللغات والقانون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28" arcsize="0.16666667," fillcolor="white" stroked="t" style="position:absolute;margin-left:4.15pt;margin-top:9.3pt;width:113.4pt;height:23.4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6"/>
                          <w:szCs w:val="2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حقل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 xml:space="preserve">: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اللغات والقانون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5299075</wp:posOffset>
                </wp:positionH>
                <wp:positionV relativeFrom="paragraph">
                  <wp:posOffset>114300</wp:posOffset>
                </wp:positionV>
                <wp:extent cx="1566544" cy="300990"/>
                <wp:effectExtent l="12700" t="12700" r="0" b="3810"/>
                <wp:wrapNone/>
                <wp:docPr id="1029" name="10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66544" cy="300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ind w:left="-17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المبحث:اللغة العربيّة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 xml:space="preserve">/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المتقدم</w:t>
                            </w:r>
                          </w:p>
                          <w:p>
                            <w:pPr>
                              <w:pStyle w:val="style0"/>
                              <w:ind w:left="-17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29" arcsize="0.16666667," fillcolor="white" stroked="t" style="position:absolute;margin-left:417.25pt;margin-top:9.0pt;width:123.35pt;height:23.7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ind w:left="-170"/>
                        <w:jc w:val="center"/>
                        <w:rPr>
                          <w:rFonts w:ascii="Arial" w:cs="Arial" w:hAnsi="Arial"/>
                          <w:b/>
                          <w:bCs/>
                          <w:lang w:bidi="ar-JO"/>
                        </w:rPr>
                      </w:pPr>
                      <w:r>
                        <w:rPr>
                          <w:b/>
                          <w:bCs/>
                          <w:rtl/>
                          <w:lang w:bidi="ar-JO"/>
                        </w:rPr>
                        <w:t>المبحث:اللغة العربيّة</w:t>
                      </w: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 xml:space="preserve">/ 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>المتقدم</w:t>
                      </w:r>
                    </w:p>
                    <w:p>
                      <w:pPr>
                        <w:pStyle w:val="style0"/>
                        <w:ind w:left="-170"/>
                        <w:rPr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ind w:left="-270" w:right="-1080"/>
        <w:rPr>
          <w:b/>
          <w:bCs/>
          <w:sz w:val="28"/>
          <w:szCs w:val="28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false" relativeHeight="2" behindDoc="false" locked="false" layoutInCell="true" allowOverlap="true">
                <wp:simplePos x="0" y="0"/>
                <wp:positionH relativeFrom="column">
                  <wp:posOffset>7620</wp:posOffset>
                </wp:positionH>
                <wp:positionV relativeFrom="paragraph">
                  <wp:posOffset>121920</wp:posOffset>
                </wp:positionV>
                <wp:extent cx="6858000" cy="0"/>
                <wp:effectExtent l="0" t="0" r="0" b="0"/>
                <wp:wrapTight wrapText="bothSides">
                  <wp:wrapPolygon edited="false">
                    <wp:start x="0" y="0"/>
                    <wp:lineTo x="0" y="0"/>
                    <wp:lineTo x="722" y="0"/>
                    <wp:lineTo x="722" y="0"/>
                    <wp:lineTo x="0" y="0"/>
                  </wp:wrapPolygon>
                </wp:wrapTight>
                <wp:docPr id="1030" name="10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580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0" filled="f" stroked="t" from="0.6pt,9.6pt" to="540.6pt,9.6pt" style="position:absolute;z-index:2;mso-position-horizontal-relative:text;mso-position-vertical-relative:text;mso-width-percent:0;mso-height-percent:0;mso-width-relative:page;mso-height-relative:page;visibility:visible;flip:x;">
                <v:stroke weight="1.5pt"/>
                <w10:wrap type="tight"/>
                <v:fill/>
              </v:line>
            </w:pict>
          </mc:Fallback>
        </mc:AlternateContent>
      </w:r>
    </w:p>
    <w:p>
      <w:pPr>
        <w:pStyle w:val="style0"/>
        <w:ind w:right="-1080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5299075</wp:posOffset>
                </wp:positionH>
                <wp:positionV relativeFrom="paragraph">
                  <wp:posOffset>107950</wp:posOffset>
                </wp:positionV>
                <wp:extent cx="1566544" cy="338455"/>
                <wp:effectExtent l="12700" t="12700" r="0" b="4445"/>
                <wp:wrapNone/>
                <wp:docPr id="1032" name="10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66544" cy="338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الفصل الدراسي: الثاني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2" arcsize="0.16666667," fillcolor="white" stroked="t" style="position:absolute;margin-left:417.25pt;margin-top:8.5pt;width:123.35pt;height:26.65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6"/>
                          <w:szCs w:val="2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الفصل الدراسي: الثاني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6"/>
          <w:szCs w:val="6"/>
          <w:rtl/>
          <w:lang w:bidi="ar-JO"/>
        </w:rPr>
      </w:pP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 xml:space="preserve">اسم الطالبـ/ة: ...........................       الشعبة: (      )          اليوم والتّاريخ: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/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/ 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م</w:t>
      </w:r>
    </w:p>
    <w:p>
      <w:pPr>
        <w:pStyle w:val="style0"/>
        <w:numPr>
          <w:ilvl w:val="0"/>
          <w:numId w:val="1"/>
        </w:numPr>
        <w:ind w:left="0"/>
        <w:rPr>
          <w:rFonts w:ascii="Simplified Arabic" w:cs="Simplified Arabic" w:hAnsi="Simplified Arabic"/>
          <w:b/>
          <w:bCs/>
          <w:color w:val="000000"/>
          <w:sz w:val="28"/>
          <w:szCs w:val="28"/>
          <w:highlight w:val="lightGray"/>
          <w:lang w:bidi="ar-JO"/>
        </w:rPr>
      </w:pPr>
      <w:r>
        <w:rPr>
          <w:rFonts w:ascii="Simplified Arabic" w:cs="Simplified Arabic" w:hAnsi="Simplified Arabic"/>
          <w:b/>
          <w:bCs/>
          <w:color w:val="000000"/>
          <w:sz w:val="28"/>
          <w:szCs w:val="28"/>
          <w:highlight w:val="lightGray"/>
          <w:u w:val="single"/>
          <w:rtl/>
          <w:lang w:bidi="ar-JO"/>
        </w:rPr>
        <w:t xml:space="preserve">ضعي دائرة حول رمز الإجابة الصّحيحة، ثم انقليه إلى ورقة الإجابة:     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highlight w:val="lightGray"/>
          <w:rtl/>
          <w:lang w:bidi="ar-JO"/>
        </w:rPr>
        <w:t>(</w:t>
      </w:r>
      <w:r>
        <w:rPr>
          <w:rFonts w:ascii="Simplified Arabic" w:cs="Simplified Arabic" w:hAnsi="Simplified Arabic" w:hint="cs"/>
          <w:b/>
          <w:bCs/>
          <w:color w:val="000000"/>
          <w:sz w:val="28"/>
          <w:szCs w:val="28"/>
          <w:highlight w:val="lightGray"/>
          <w:rtl/>
          <w:lang w:bidi="ar-JO"/>
        </w:rPr>
        <w:t>40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highlight w:val="lightGray"/>
          <w:rtl/>
          <w:lang w:bidi="ar-JO"/>
        </w:rPr>
        <w:t xml:space="preserve"> علام</w:t>
      </w:r>
      <w:r>
        <w:rPr>
          <w:rFonts w:ascii="Simplified Arabic" w:cs="Simplified Arabic" w:hAnsi="Simplified Arabic" w:hint="cs"/>
          <w:b/>
          <w:bCs/>
          <w:color w:val="000000"/>
          <w:sz w:val="28"/>
          <w:szCs w:val="28"/>
          <w:highlight w:val="lightGray"/>
          <w:rtl/>
          <w:lang w:bidi="ar-JO"/>
        </w:rPr>
        <w:t>ة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highlight w:val="lightGray"/>
          <w:rtl/>
          <w:lang w:bidi="ar-JO"/>
        </w:rPr>
        <w:t xml:space="preserve">)  </w:t>
      </w:r>
    </w:p>
    <w:p>
      <w:pPr>
        <w:pStyle w:val="style0"/>
        <w:rPr>
          <w:rFonts w:ascii="Simplified Arabic" w:cs="Simplified Arabic" w:hAnsi="Simplified Arabic"/>
          <w:b/>
          <w:bCs/>
          <w:color w:val="000000"/>
          <w:sz w:val="8"/>
          <w:szCs w:val="8"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color w:val="000000"/>
          <w:sz w:val="2"/>
          <w:szCs w:val="2"/>
          <w:lang w:bidi="ar-JO"/>
        </w:rPr>
      </w:pPr>
    </w:p>
    <w:tbl>
      <w:tblPr>
        <w:bidiVisual/>
        <w:tblW w:w="11110" w:type="dxa"/>
        <w:tblInd w:w="-516" w:type="dxa"/>
        <w:tblLook w:val="04A0" w:firstRow="1" w:lastRow="0" w:firstColumn="1" w:lastColumn="0" w:noHBand="0" w:noVBand="1"/>
      </w:tblPr>
      <w:tblGrid>
        <w:gridCol w:w="2494"/>
        <w:gridCol w:w="230"/>
        <w:gridCol w:w="2277"/>
        <w:gridCol w:w="210"/>
        <w:gridCol w:w="239"/>
        <w:gridCol w:w="2934"/>
        <w:gridCol w:w="52"/>
        <w:gridCol w:w="2637"/>
      </w:tblGrid>
      <w:tr>
        <w:trPr>
          <w:trHeight w:val="251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1- ال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عبارات الآتية من آثار نزول القرآن الكريم على اللغة العربية وبلاغتها في عصر الفصاحة والبيان، ما عدا:</w:t>
            </w:r>
          </w:p>
        </w:tc>
      </w:tr>
      <w:tr>
        <w:tblPrEx/>
        <w:trPr>
          <w:trHeight w:val="20" w:hRule="atLeast"/>
        </w:trPr>
        <w:tc>
          <w:tcPr>
            <w:tcW w:w="5211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أصبح يحميهم ببيانه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ج. أصبح مثالَ البلاغةِ الأوّل</w:t>
            </w:r>
          </w:p>
        </w:tc>
        <w:tc>
          <w:tcPr>
            <w:tcW w:w="5899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هَيْمنَ ببيانه المُعجز على لغة العرب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أخضعَ فصحاءَ العرب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2- غاية النقد المتمثّلة في قول امرئ القيس واصفًا حصانه:</w:t>
            </w:r>
          </w:p>
          <w:p>
            <w:pPr>
              <w:pStyle w:val="style0"/>
              <w:spacing w:lineRule="auto" w:line="276"/>
              <w:jc w:val="center"/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مِكَرٍّ مِفَرٍّ مُقبِلٍ مُدبِرٍ مَعًا          كَجُلمودِ صَخرٍ حَطَّهُ السَيلُ مِن عَلِ</w:t>
            </w:r>
          </w:p>
        </w:tc>
      </w:tr>
      <w:tr>
        <w:tblPrEx/>
        <w:trPr>
          <w:trHeight w:val="20" w:hRule="atLeast"/>
        </w:trPr>
        <w:tc>
          <w:tcPr>
            <w:tcW w:w="5211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 التعبير عن المعنى بوضوح وتأثير وجمال في التركيب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ج.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الاحتكام إلى المعايير البلاغية في نقد الشّعر</w:t>
            </w:r>
          </w:p>
        </w:tc>
        <w:tc>
          <w:tcPr>
            <w:tcW w:w="5899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ب. الإتيان بالكلام موافقًا لحال المخاطَب 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الإتيان بالكلام موافقًا لحال المتكلِّم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3- المصطلح الذي يُعرّف بأنّه تشبيهٌ حُذف منه المشبَّه أو المشبَّه به، على سبيل المجاز الذي علاقته المشابهة مع وجود قرينة تمنع من إرادة المعنى الأصلي:</w:t>
            </w:r>
          </w:p>
        </w:tc>
      </w:tr>
      <w:tr>
        <w:tblPrEx/>
        <w:trPr>
          <w:trHeight w:val="279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المجاز المرسل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الاستعارة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ج. الحقيقة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الإطناب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4- في قول الشاعر: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  <w:t xml:space="preserve"> أَسْتَوْدِعُ اللَهَ في بَغْدَادَ لِي قَمَرًا      بِالكَرْخِ مِنْ فَلَكِ الأَزْرَارِ مَطْلَعُهُ</w:t>
            </w:r>
          </w:p>
        </w:tc>
      </w:tr>
      <w:tr>
        <w:tblPrEx/>
        <w:trPr>
          <w:trHeight w:val="20" w:hRule="atLeast"/>
        </w:trPr>
        <w:tc>
          <w:tcPr>
            <w:tcW w:w="2761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استعارة مكنية</w:t>
            </w:r>
          </w:p>
        </w:tc>
        <w:tc>
          <w:tcPr>
            <w:tcW w:w="2277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استعارة تصريحية</w:t>
            </w:r>
          </w:p>
        </w:tc>
        <w:tc>
          <w:tcPr>
            <w:tcW w:w="3435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ج. مجاز مرسل</w:t>
            </w:r>
          </w:p>
        </w:tc>
        <w:tc>
          <w:tcPr>
            <w:tcW w:w="2637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تشبيه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  <w:t xml:space="preserve">5- قامت تُظلّلني ومن عجبٍ   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u w:val="single"/>
                <w:rtl/>
              </w:rPr>
              <w:t xml:space="preserve"> شمسٌ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  <w:t xml:space="preserve"> تُظلّلني من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u w:val="single"/>
                <w:rtl/>
              </w:rPr>
              <w:t>الشّمسِ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كلمة (الشّمس) الأولى و(الشّمس) الثانية على التّرتيب:</w:t>
            </w:r>
          </w:p>
        </w:tc>
      </w:tr>
      <w:tr>
        <w:tblPrEx/>
        <w:trPr>
          <w:trHeight w:val="20" w:hRule="atLeast"/>
        </w:trPr>
        <w:tc>
          <w:tcPr>
            <w:tcW w:w="249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حقيقية/ حقيقية</w:t>
            </w:r>
          </w:p>
        </w:tc>
        <w:tc>
          <w:tcPr>
            <w:tcW w:w="2717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حقيقية/ مجازية</w:t>
            </w:r>
          </w:p>
        </w:tc>
        <w:tc>
          <w:tcPr>
            <w:tcW w:w="3173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ج. مجازية/ حقيقية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مجازية/ مجازية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6- علاقة المجاز المرسل في قول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الشّاعر: كم بعثنا الجيشَ جرّا     رًا وأرسلنا العيونا</w:t>
            </w:r>
          </w:p>
        </w:tc>
      </w:tr>
      <w:tr>
        <w:tblPrEx/>
        <w:trPr>
          <w:trHeight w:val="20" w:hRule="atLeast"/>
        </w:trPr>
        <w:tc>
          <w:tcPr>
            <w:tcW w:w="249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 الكلية</w:t>
            </w:r>
          </w:p>
        </w:tc>
        <w:tc>
          <w:tcPr>
            <w:tcW w:w="2717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اعتبار ما كان</w:t>
            </w:r>
          </w:p>
        </w:tc>
        <w:tc>
          <w:tcPr>
            <w:tcW w:w="3173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ج. الجزئية 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اعتبار ما سيكون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7- علاقة المجاز المرسل في قوله تعالى: " فبشّرناهُ بغلامٍ حليم"</w:t>
            </w:r>
          </w:p>
        </w:tc>
      </w:tr>
      <w:tr>
        <w:tblPrEx/>
        <w:trPr>
          <w:trHeight w:val="20" w:hRule="atLeast"/>
        </w:trPr>
        <w:tc>
          <w:tcPr>
            <w:tcW w:w="2761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 الكلية</w:t>
            </w:r>
          </w:p>
        </w:tc>
        <w:tc>
          <w:tcPr>
            <w:tcW w:w="2277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اعتبار ما كان</w:t>
            </w:r>
          </w:p>
        </w:tc>
        <w:tc>
          <w:tcPr>
            <w:tcW w:w="3435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ج. الجزئية </w:t>
            </w:r>
          </w:p>
        </w:tc>
        <w:tc>
          <w:tcPr>
            <w:tcW w:w="2637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اعتبار ما سيكون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8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</w:rPr>
              <w:t>-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واحدة من الكلمات المخطوط تحتها استُعملت في معنًى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حقيقيّ: 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أ. دينارٌ تنفقه على أهلك أعظمُ أجرًا من دينارٍ تنفقه في 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>رقبة.</w:t>
            </w:r>
          </w:p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ب. </w:t>
            </w:r>
            <w:r>
              <w:rPr>
                <w:rFonts w:ascii="Simplified Arabic" w:cs="Simplified Arabic" w:hAnsi="Simplified Arabic"/>
                <w:rtl/>
              </w:rPr>
              <w:t xml:space="preserve">فَلَم أَرَ قَبلي مَن مَشى البَحرُ نَحوَهُ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وَلا رَجُلاً قامَت تُعانِقُهُ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 xml:space="preserve"> الأُسدُ</w:t>
            </w:r>
          </w:p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"</w:t>
            </w:r>
            <w:r>
              <w:rPr>
                <w:rFonts w:ascii="Simplified Arabic" w:cs="Simplified Arabic" w:hAnsi="Simplified Arabic"/>
                <w:sz w:val="26"/>
                <w:szCs w:val="26"/>
              </w:rPr>
              <w:t> 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إِنَّكَ 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>مَيِّتٌ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 وَإِنَّهُم مَّيِّتُونَ "</w:t>
            </w:r>
          </w:p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د. </w:t>
            </w:r>
            <w:r>
              <w:rPr>
                <w:rFonts w:ascii="Simplified Arabic" w:cs="Simplified Arabic" w:hAnsi="Simplified Arabic"/>
                <w:rtl/>
              </w:rPr>
              <w:t xml:space="preserve">تَعَرَّضَ لي </w:t>
            </w:r>
            <w:r>
              <w:rPr>
                <w:rFonts w:ascii="Simplified Arabic" w:cs="Simplified Arabic" w:hAnsi="Simplified Arabic"/>
                <w:u w:val="single"/>
                <w:rtl/>
              </w:rPr>
              <w:t>السَحابُ</w:t>
            </w:r>
            <w:r>
              <w:rPr>
                <w:rFonts w:ascii="Simplified Arabic" w:cs="Simplified Arabic" w:hAnsi="Simplified Arabic"/>
                <w:rtl/>
              </w:rPr>
              <w:t xml:space="preserve"> وَقَد قَفَلنا    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فَقُلتُ إِلَيكَ إِنَّ مَعي السَحابا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rtl/>
              </w:rPr>
              <w:t>9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الآية التي تمثّل أسلوب نهي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: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</w:p>
        </w:tc>
      </w:tr>
      <w:tr>
        <w:tblPrEx/>
        <w:trPr>
          <w:trHeight w:val="20" w:hRule="atLeast"/>
        </w:trPr>
        <w:tc>
          <w:tcPr>
            <w:tcW w:w="5038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أ. </w:t>
            </w:r>
            <w:r>
              <w:rPr>
                <w:rFonts w:ascii="Simplified Arabic" w:cs="Simplified Arabic" w:hAnsi="Simplified Arabic"/>
                <w:sz w:val="26"/>
                <w:szCs w:val="26"/>
                <w:lang w:bidi="ar-JO"/>
              </w:rPr>
              <w:t>"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لا يُحِبُّ اللَّهُ الْجَهْرَ بِالسُّوءِ</w:t>
            </w:r>
            <w:r>
              <w:rPr>
                <w:rFonts w:ascii="Simplified Arabic" w:cs="Simplified Arabic" w:hAnsi="Simplified Arabic"/>
                <w:sz w:val="26"/>
                <w:szCs w:val="26"/>
                <w:lang w:bidi="ar-JO"/>
              </w:rPr>
              <w:t>"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ج. "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أَلَا إِنَّ أَوْلِيَاءَ اللَّهِ لَا خَوْفٌ عَلَيْهِمْ وَلَا هُمْ يَحْزَنُونَ"</w:t>
            </w:r>
          </w:p>
        </w:tc>
        <w:tc>
          <w:tcPr>
            <w:tcW w:w="6072" w:type="dxa"/>
            <w:gridSpan w:val="5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ب."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لا يُؤَاخِذُكُمُ اللَّهُ بِاللَّغْوِ فِي أَيْمَانِكُمْ وَلَٰكِن يُؤَاخِذُكُم بِمَا كَسَبَتْ قُلُوبُكُمْ"</w:t>
            </w:r>
            <w:r>
              <w:rPr>
                <w:rFonts w:ascii="Simplified Arabic" w:cs="Simplified Arabic" w:hAnsi="Simplified Arabic"/>
                <w:sz w:val="26"/>
                <w:szCs w:val="26"/>
                <w:lang w:bidi="ar-JO"/>
              </w:rPr>
              <w:t xml:space="preserve"> 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"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يَا أَيُّهَا الَّذِينَ آمَنُوا لَا تَقُولُوا رَاعِنَا وَقُولُوا انظُرْنَا وَاسْمَعُوا</w:t>
            </w:r>
            <w:r>
              <w:rPr>
                <w:rFonts w:ascii="Simplified Arabic" w:cs="Simplified Arabic" w:hAnsi="Simplified Arabic"/>
                <w:sz w:val="26"/>
                <w:szCs w:val="26"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"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10-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المعنى الذي خرج إليه النّهي في قول الشّاعر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  <w:lang w:bidi="ar-JO"/>
              </w:rPr>
              <w:t xml:space="preserve">:   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ولا تجلسْ إلى أهل الدّنايا     فإنّ خلائقَ السّفهاء تُعدي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أ.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الدّعاء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الالتماس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الزّجر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النّصح والإرشاد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11- النّهي الذي خرج إلى معنى التّهديد في الأبيات الآتية: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لا تَطْوِيا السّرّ عنّي يَومَ نائبةٍ         فإنّ ذلك ذَنْبٌ غيرُ مُغْتَفَرِ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لا تَطْمحنَّ إِلى المراتب قبلَ أنْ     تتكاملَ الأدواتُ والأسبابُ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ج. أَبا هِندٍ فَلا تَعَجَل عَلَينا             وَأَنظِرنا نُخَبِّركَ </w: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0" distR="0" simplePos="false" relativeHeight="6" behindDoc="false" locked="false" layoutInCell="true" allowOverlap="true">
                      <wp:simplePos x="0" y="0"/>
                      <wp:positionH relativeFrom="page">
                        <wp:posOffset>317130</wp:posOffset>
                      </wp:positionH>
                      <wp:positionV relativeFrom="page">
                        <wp:posOffset>-8010858</wp:posOffset>
                      </wp:positionV>
                      <wp:extent cx="1440180" cy="330834"/>
                      <wp:effectExtent l="12700" t="12700" r="0" b="0"/>
                      <wp:wrapNone/>
                      <wp:docPr id="1031" name="1034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1440180" cy="33083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cmpd="sng" cap="flat" w="222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txbx id="1031">
                              <w:txbxContent>
                                <w:p>
                                  <w:pPr>
                                    <w:pStyle w:val="style0"/>
                                    <w:rPr>
                                      <w:rFonts w:ascii="Arial" w:cs="Arial" w:hAnsi="Arial"/>
                                      <w:sz w:val="26"/>
                                      <w:szCs w:val="26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ar-JO"/>
                                    </w:rPr>
                                    <w:t>الصف:</w:t>
                                  </w:r>
                                  <w:r>
                                    <w:rPr>
                                      <w:rFonts w:ascii="Arial" w:cs="Arial" w:hAnsi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ar-JO"/>
                                    </w:rPr>
                                    <w:t>الثاني الثانوي</w:t>
                                  </w:r>
                                </w:p>
                                <w:p>
                                  <w:pPr>
                                    <w:pStyle w:val="style0"/>
                                    <w:rPr>
                                      <w:rFonts w:ascii="Arial" w:cs="Arial" w:hAnsi="Arial"/>
                                      <w:sz w:val="26"/>
                                      <w:szCs w:val="26"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ascii="Arial" w:cs="Arial" w:hAnsi="Arial"/>
                                      <w:sz w:val="26"/>
                                      <w:szCs w:val="26"/>
                                      <w:rtl/>
                                      <w:lang w:bidi="ar-JO"/>
                                    </w:rPr>
                                    <w:t xml:space="preserve">                </w:t>
                                  </w:r>
                                </w:p>
                                <w:p>
                                  <w:pPr>
                                    <w:pStyle w:val="style0"/>
                                    <w:rPr>
                                      <w:rFonts w:ascii="Arial" w:cs="Arial" w:hAnsi="Arial"/>
                                      <w:sz w:val="26"/>
                                      <w:szCs w:val="26"/>
                                      <w:lang w:bidi="ar-JO"/>
                                    </w:rPr>
                                  </w:pPr>
                                </w:p>
                              </w:txbxContent>
                            </wps:txbx>
                            <wps:bodyPr lIns="91440" rIns="91440" tIns="45720" bIns="45720" vert="horz" anchor="t" wrap="square" upright="tru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1031" arcsize="0.16666667," fillcolor="white" stroked="t" style="position:absolute;margin-left:24.97pt;margin-top:-630.78pt;width:113.4pt;height:26.05pt;z-index:6;mso-position-horizontal-relative:page;mso-position-vertical-relative:page;mso-width-percent:0;mso-height-percent:0;mso-width-relative:page;mso-height-relative:page;mso-wrap-distance-left:0.0pt;mso-wrap-distance-right:0.0pt;visibility:visible;">
                      <v:stroke weight="1.7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الصف: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الثاني الثانوي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6"/>
                                <w:szCs w:val="26"/>
                                <w:lang w:bidi="ar-JO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اليَقينا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لا تنفري منّي و لا تغضبي          ولا تكوني في الهوى ظالمة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12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- المعنى الذي خرج إليه النّداء في قول الشّاعر: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فوا عَجَبا كم يدّعي الفضْل ناقصٌ     ووا أسَفا كم يُظْهِرُ النّقصَ فاضل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الاستغاثة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التّحسُّر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النّدبة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الالتماس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3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- الضّبط الصحيح للّام الأولى في لفظ الجلالة في قول الشاعر: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 xml:space="preserve">    </w:t>
            </w:r>
            <w:r>
              <w:rPr>
                <w:rFonts w:ascii="Simplified Arabic" w:cs="Simplified Arabic" w:hAnsi="Simplified Arabic"/>
                <w:rtl/>
              </w:rPr>
              <w:t>فيا</w:t>
            </w:r>
            <w:r>
              <w:rPr>
                <w:rFonts w:ascii="Simplified Arabic" w:cs="Simplified Arabic" w:hAnsi="Simplified Arabic"/>
                <w:u w:val="single"/>
                <w:rtl/>
              </w:rPr>
              <w:t xml:space="preserve"> لله </w:t>
            </w:r>
            <w:r>
              <w:rPr>
                <w:rFonts w:ascii="Simplified Arabic" w:cs="Simplified Arabic" w:hAnsi="Simplified Arabic"/>
                <w:rtl/>
              </w:rPr>
              <w:t xml:space="preserve">كم سرَّتْ قلوباً    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ويا 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 xml:space="preserve">لله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كم أبكتْ عيونا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السكون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الفتحة</w:t>
            </w:r>
          </w:p>
        </w:tc>
        <w:tc>
          <w:tcPr>
            <w:tcW w:w="2934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الضّمّة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الكسرة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4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- الآية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التي أفاد فيها الإطناب تحقيق عنصر التّشويق في نفس المتلقي:</w:t>
            </w:r>
          </w:p>
        </w:tc>
      </w:tr>
      <w:tr>
        <w:tblPrEx/>
        <w:trPr>
          <w:trHeight w:val="20" w:hRule="atLeast"/>
        </w:trPr>
        <w:tc>
          <w:tcPr>
            <w:tcW w:w="5450" w:type="dxa"/>
            <w:gridSpan w:val="5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" أَن تَقُولَ نَفْسٌ يَا حَسْرَتَا عَلَىٰ مَا فَرَّطتُ فِي جَنبِ اللَّهِ "</w:t>
            </w:r>
          </w:p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" حافظوا على الصلوات والصلاة الوسطى"</w:t>
            </w:r>
          </w:p>
        </w:tc>
        <w:tc>
          <w:tcPr>
            <w:tcW w:w="5660" w:type="dxa"/>
            <w:gridSpan w:val="3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" وَاتَّقُوا الَّذِي أَمَدَّكُم بِمَا تَعْلَمُونَ</w:t>
            </w:r>
            <w:r>
              <w:rPr>
                <w:rFonts w:ascii="Simplified Arabic" w:cs="Simplified Arabic" w:hAnsi="Simplified Arabic"/>
                <w:sz w:val="26"/>
                <w:szCs w:val="26"/>
              </w:rPr>
              <w:t xml:space="preserve"> (132) </w:t>
            </w:r>
            <w:r>
              <w:rPr/>
              <w:fldChar w:fldCharType="begin"/>
            </w:r>
            <w:r>
              <w:instrText xml:space="preserve"> HYPERLINK "http://quran.ksu.edu.sa/tafseer/katheer/sura26-aya133.html" </w:instrText>
            </w:r>
            <w:r>
              <w:rPr/>
              <w:fldChar w:fldCharType="separate"/>
            </w:r>
            <w:r>
              <w:rPr>
                <w:rStyle w:val="style85"/>
                <w:rFonts w:ascii="Simplified Arabic" w:cs="Simplified Arabic" w:hAnsi="Simplified Arabic"/>
                <w:color w:val="auto"/>
                <w:sz w:val="26"/>
                <w:szCs w:val="26"/>
                <w:u w:val="none"/>
                <w:rtl/>
              </w:rPr>
              <w:t>أَمَدَّكُم بِأَنْعَامٍ وَبَنِينَ</w:t>
            </w:r>
            <w:r>
              <w:rPr/>
              <w:fldChar w:fldCharType="end"/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"</w:t>
            </w:r>
          </w:p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" كلّا سيعلمون (4) ثمَّ كلّا سيعلمون"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15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- نوع الإطناب في قوله تعالى: " يَوْمَ يَقُومُ الرُّوحُ وَالْمَلَائِكَةُ صَفًّا ۖ لَّا يَتَكَلَّمُونَ إِلَّا مَنْ أَذِنَ لَهُ الرَّحْمَٰنُ وَقَالَ صَوَابًا"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الإيضاح بعد الإبهام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ذكر العام بعد الخاص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ذكر الخاص بعد العام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التّكرار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6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- الفعل (اعشوشب) مزيد بـ: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الهمزة والواو والتّضعيف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الألف والواو والتّضعيف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ج. الهمزة والواو 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د. الألف والواو 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7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- الفعل المزيد بحرفين من الأفعال المخطوط تحته في الجمل الآتية: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لا تسترقِ السّمعَ.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استقِم كما أمركَ الله.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استحقَّ المجتهدُ التّكريم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لا تستعِنْ إلّا بالله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8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- المعنى المُستفاد من الزيادة في الفعل (أعصرَ) في جملة: لمّا أعصرَ العاملُ عاد إلى منزله مرهقًا.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الدّخول في الزّمان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الدّخول في المكان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التّعدية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الصّيرورة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19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- المعنى المُستفاد من الزيادة في الفعل (تزايد) في جملة: يتزايدُ اهتمامُ النّاس بتطبيقات الذّكاء الاصطناعيّ.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المشاركة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المطاوعة</w:t>
            </w:r>
          </w:p>
        </w:tc>
        <w:tc>
          <w:tcPr>
            <w:tcW w:w="2934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التّكلّف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التّدريج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0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- الجملة التي جاء المعنى المستفاد من الزّيادة في الفعل المخطوط تحته (التّكلُّف):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تحمّلتُ حتى أصِل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تشاجرَ الصّبيَةُ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تفهّمتُ الوضعَ.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توافدَ المدعوون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1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- المعنى المُستفاد من الزيادة في الفعل (اقتسم) في جملة: اقتسمَ الإخوةُ تركةَ والِدهم.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المشاركة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المطاوعة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التّكلّف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التّدريج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2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- المعنى المُستفاد من الزيادة في الفعلين المخطوط تحتهما على التّرتيب في جملة: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    (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>جمّعتُ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 نقودي لأتصدقَ 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 xml:space="preserve">فانجمعَ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لديّ عشر</w:t>
            </w:r>
            <w:r>
              <w:rPr>
                <w:rFonts w:ascii="Simplified Arabic" w:cs="Simplified Arabic" w:hAnsi="Simplified Arabic" w:hint="cs"/>
                <w:sz w:val="26"/>
                <w:szCs w:val="26"/>
                <w:rtl/>
                <w:lang w:bidi="ar-JO"/>
              </w:rPr>
              <w:t>و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ن دينارًا)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المشاركة/ المبالغة والتّكثير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المشاركة/ المطاوعة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المبالغة والتّكثير/ المطاوعة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المبالغة والتّكثير/ التّدريج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 xml:space="preserve">23- الجملة التي أفاد فيها التّصغير معنى التّحبُّب: 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شاهدتُ دُبَيْبًا في الغابة.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ب. ابنُكَ عُمَيْر له مستقبلٌ واعدٌ 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لا أقرأُ لذاك الكُوَيْتب.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هذا الكُتَيِّبُ مفيدلإ جدًا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24- تصغير كلمة (نفْس): 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نُـــفَـــــيِّـــــس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نُـــفَـــــيْـــــس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نُــــفَـــــيِّـــــسة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نُــــفَــــيْــــسة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25- تصغير كلمة (ناب): 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نُــوَيْب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نُــيَـــيْــــب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نُــيَـــيْــــبة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نُــيَـــيِّــــب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26- تصغير كلمة (سَؤُول):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سُـــؤَيِّــــل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سُـــؤَيْـــــوِل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ج.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سُـــؤَيِّـــــوِل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سُـــؤَيْـــــوِيــل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27- مكبَّر كلمة (مُــخَــيْريْـــــــط):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مَخرط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مَخارِط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خرّاط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مَخروط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28- تصغير الاسم (دار الأرقم):</w:t>
            </w:r>
          </w:p>
          <w:tbl>
            <w:tblPr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714"/>
              <w:gridCol w:w="2716"/>
              <w:gridCol w:w="2715"/>
              <w:gridCol w:w="2714"/>
            </w:tblGrid>
            <w:tr>
              <w:trPr>
                <w:trHeight w:val="20" w:hRule="atLeast"/>
              </w:trPr>
              <w:tc>
                <w:tcPr>
                  <w:tcW w:w="2724" w:type="dxa"/>
                  <w:tcBorders/>
                </w:tcPr>
                <w:p>
                  <w:pPr>
                    <w:pStyle w:val="style0"/>
                    <w:spacing w:lineRule="auto" w:line="276"/>
                    <w:rPr>
                      <w:rFonts w:ascii="Simplified Arabic" w:cs="Simplified Arabic" w:hAnsi="Simplified Arabic"/>
                      <w:sz w:val="26"/>
                      <w:szCs w:val="26"/>
                      <w:rtl/>
                    </w:rPr>
                  </w:pPr>
                  <w:r>
                    <w:rPr>
                      <w:rFonts w:ascii="Simplified Arabic" w:cs="Simplified Arabic" w:hAnsi="Simplified Arabic"/>
                      <w:sz w:val="26"/>
                      <w:szCs w:val="26"/>
                      <w:rtl/>
                    </w:rPr>
                    <w:t>أ. دُوَيْــــــر الأُرَيْـــــقم</w:t>
                  </w:r>
                </w:p>
              </w:tc>
              <w:tc>
                <w:tcPr>
                  <w:tcW w:w="2726" w:type="dxa"/>
                  <w:tcBorders/>
                </w:tcPr>
                <w:p>
                  <w:pPr>
                    <w:pStyle w:val="style0"/>
                    <w:spacing w:lineRule="auto" w:line="276"/>
                    <w:rPr>
                      <w:rFonts w:ascii="Simplified Arabic" w:cs="Simplified Arabic" w:hAnsi="Simplified Arabic"/>
                      <w:sz w:val="26"/>
                      <w:szCs w:val="26"/>
                      <w:rtl/>
                    </w:rPr>
                  </w:pPr>
                  <w:r>
                    <w:rPr>
                      <w:rFonts w:ascii="Simplified Arabic" w:cs="Simplified Arabic" w:hAnsi="Simplified Arabic"/>
                      <w:sz w:val="26"/>
                      <w:szCs w:val="26"/>
                      <w:rtl/>
                    </w:rPr>
                    <w:t>ب. دُوَيـْـــــرة الأُرَيْـــــقم</w:t>
                  </w:r>
                </w:p>
              </w:tc>
              <w:tc>
                <w:tcPr>
                  <w:tcW w:w="2726" w:type="dxa"/>
                  <w:tcBorders/>
                </w:tcPr>
                <w:p>
                  <w:pPr>
                    <w:pStyle w:val="style0"/>
                    <w:spacing w:lineRule="auto" w:line="276"/>
                    <w:rPr>
                      <w:rFonts w:ascii="Simplified Arabic" w:cs="Simplified Arabic" w:hAnsi="Simplified Arabic"/>
                      <w:sz w:val="26"/>
                      <w:szCs w:val="26"/>
                      <w:rtl/>
                    </w:rPr>
                  </w:pPr>
                  <w:r>
                    <w:rPr>
                      <w:rFonts w:ascii="Simplified Arabic" w:cs="Simplified Arabic" w:hAnsi="Simplified Arabic"/>
                      <w:sz w:val="26"/>
                      <w:szCs w:val="26"/>
                      <w:rtl/>
                    </w:rPr>
                    <w:t>ج. دُوَيـْـــــرة الأرقم</w:t>
                  </w:r>
                </w:p>
              </w:tc>
              <w:tc>
                <w:tcPr>
                  <w:tcW w:w="2726" w:type="dxa"/>
                  <w:tcBorders/>
                </w:tcPr>
                <w:p>
                  <w:pPr>
                    <w:pStyle w:val="style0"/>
                    <w:spacing w:lineRule="auto" w:line="276"/>
                    <w:rPr>
                      <w:rFonts w:ascii="Simplified Arabic" w:cs="Simplified Arabic" w:hAnsi="Simplified Arabic"/>
                      <w:sz w:val="26"/>
                      <w:szCs w:val="26"/>
                      <w:rtl/>
                    </w:rPr>
                  </w:pPr>
                  <w:r>
                    <w:rPr>
                      <w:rFonts w:ascii="Simplified Arabic" w:cs="Simplified Arabic" w:hAnsi="Simplified Arabic"/>
                      <w:sz w:val="26"/>
                      <w:szCs w:val="26"/>
                      <w:rtl/>
                    </w:rPr>
                    <w:t xml:space="preserve">د. </w:t>
                  </w:r>
                  <w:r>
                    <w:rPr>
                      <w:rFonts w:ascii="Simplified Arabic" w:cs="Simplified Arabic" w:hAnsi="Simplified Arabic"/>
                      <w:sz w:val="26"/>
                      <w:szCs w:val="26"/>
                      <w:rtl/>
                    </w:rPr>
                    <w:t>دُيَيـْـــرة الأرقم</w:t>
                  </w:r>
                </w:p>
              </w:tc>
            </w:tr>
          </w:tbl>
          <w:p>
            <w:pPr>
              <w:pStyle w:val="style0"/>
              <w:ind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29-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الإبدال الحاصل في كلمة متزِّن هو: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</w:rPr>
            </w:pP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 xml:space="preserve">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أ- إبدال الواو تاءً، ثم إدغام التاّء بتاء الافتعال.               ب- إبدال الطاء تاءً، ثم إدغام التاء بتاء الافتعال.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 xml:space="preserve">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ج- إدغام التاء بتاء الافتعال فقط.                                د- إبدال الزاي تاءً، ثم إدغام التاء بتاء الافتعال.</w:t>
            </w:r>
          </w:p>
          <w:p>
            <w:pPr>
              <w:pStyle w:val="style0"/>
              <w:ind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30-النسب إلى كلمة" قُريظة" هو:</w:t>
            </w:r>
          </w:p>
          <w:p>
            <w:pPr>
              <w:pStyle w:val="style0"/>
              <w:ind w:left="-5"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              أ)قُرَظيّ                           ب)قُرَيْظيّ                                 ج)قَرْظيّ                                      د)قرظاويّ</w:t>
            </w:r>
          </w:p>
          <w:p>
            <w:pPr>
              <w:pStyle w:val="style0"/>
              <w:ind w:left="-5"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31-النسب الصحيح إلى كلمة (دُئل)  هو:</w:t>
            </w:r>
          </w:p>
          <w:p>
            <w:pPr>
              <w:pStyle w:val="style0"/>
              <w:ind w:left="-5"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             أ)دُؤَليّ                                    ب)دُئِليّ                            ج)دُؤاليّ                         د)دُؤَيْليّ</w:t>
            </w:r>
          </w:p>
          <w:p>
            <w:pPr>
              <w:pStyle w:val="style0"/>
              <w:ind w:left="-5"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>32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-جميع الكلمات الآتية تبدل فيها التاء طاءً عند إجرائها على وزن( مفتعل) ما عدا  :</w:t>
            </w:r>
          </w:p>
          <w:p>
            <w:pPr>
              <w:pStyle w:val="style0"/>
              <w:ind w:left="-5"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            أ)صبغ                               ب)ضلع                                ج)قصد                     د)طرح</w:t>
            </w:r>
          </w:p>
          <w:p>
            <w:pPr>
              <w:pStyle w:val="style0"/>
              <w:ind w:left="-5"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33-يحدث إبدال عند إجراء جميع الجذور الآتية على وزن (افتعال )ما عدا :</w:t>
            </w:r>
          </w:p>
          <w:p>
            <w:pPr>
              <w:pStyle w:val="style0"/>
              <w:spacing w:after="200" w:lineRule="auto" w:line="276"/>
              <w:ind w:left="-5"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       أ)عَوِر                                </w:t>
            </w: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  ب)زَرِي                                   ج)وعظ                         د)زَهَر </w:t>
            </w:r>
          </w:p>
          <w:p>
            <w:pPr>
              <w:pStyle w:val="style0"/>
              <w:ind w:left="355"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34-الكلمة التي وقع فيها إعلال بالقلب :</w:t>
            </w:r>
          </w:p>
          <w:p>
            <w:pPr>
              <w:pStyle w:val="style0"/>
              <w:spacing w:after="200" w:lineRule="auto" w:line="276"/>
              <w:ind w:left="715"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أ)صحراء                     ب)خبراء                                                    ج)حسناء                                د)مشّاء </w:t>
            </w:r>
          </w:p>
          <w:p>
            <w:pPr>
              <w:pStyle w:val="style0"/>
              <w:ind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>35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_أراد جرير بقوله(أرعى النجوم و قد مضت غورية     عُصب النجوم كأنهن صوار )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>أ)وصف قطيع بقر الوحش   ب)الدلالة على طول السهر    ج)وصف النجوم وتشبيه حاله بحالها  د) الدلالة على طول بكائه</w:t>
            </w:r>
          </w:p>
          <w:p>
            <w:pPr>
              <w:pStyle w:val="style0"/>
              <w:ind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ind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>36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-تعد تربية الذوق العام في المجتمع وتعميق الخبرات النقدية بين أفراده من:</w:t>
            </w:r>
          </w:p>
          <w:p>
            <w:pPr>
              <w:pStyle w:val="style0"/>
              <w:ind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         أ)عناصر العمل الأدبي       ب)تأثير العاطفة في النص الأدبي        ج)قضايا النقد الأدبي           د)غايات النقد الأدبي </w:t>
            </w:r>
          </w:p>
          <w:p>
            <w:pPr>
              <w:pStyle w:val="style0"/>
              <w:ind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>37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-من المناهج النقدية الداخلية :</w:t>
            </w:r>
          </w:p>
          <w:p>
            <w:pPr>
              <w:pStyle w:val="style0"/>
              <w:ind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       أ)المنهج الاجتماعي                      </w:t>
            </w: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ب)المنهج التاريخي                          ج)المنهج النفسي                       د)المنهج البنيوي</w:t>
            </w:r>
          </w:p>
          <w:p>
            <w:pPr>
              <w:pStyle w:val="style0"/>
              <w:ind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38-المذهب الذي تمثل مبادئه ثلاثية نجيب محفوظ هو المذهب:</w:t>
            </w:r>
          </w:p>
          <w:p>
            <w:pPr>
              <w:pStyle w:val="style0"/>
              <w:ind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      أ)الرومانسي                                    ب)الرمزي                                            ج)الكلاسيكي                              د)الواقعي</w:t>
            </w:r>
          </w:p>
          <w:p>
            <w:pPr>
              <w:pStyle w:val="style0"/>
              <w:ind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>39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-الشاعر الذي نظم معارضة لهمزية البوصيري هو:</w:t>
            </w:r>
          </w:p>
          <w:p>
            <w:pPr>
              <w:pStyle w:val="style0"/>
              <w:ind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>أ)أحمد شوقي     ب)حافظ ابراهيم    ج)محمد مهدي الجواهري    د)محمود سامي البارودي</w:t>
            </w:r>
          </w:p>
          <w:p>
            <w:pPr>
              <w:pStyle w:val="style0"/>
              <w:ind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ind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 xml:space="preserve">40-المصطلح الذي يدل علىالتقنية التي تقوم على تداخل النصوص ،إذ يدمج الأديب جزءا من نص آخر أو إشارة إلى ذلك النص </w:t>
            </w:r>
          </w:p>
          <w:p>
            <w:pPr>
              <w:pStyle w:val="style0"/>
              <w:ind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في عمله الأدبي , هو</w:t>
            </w: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:        </w:t>
            </w:r>
          </w:p>
          <w:p>
            <w:pPr>
              <w:pStyle w:val="style0"/>
              <w:ind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       أ)  المعارضة               ب)  التناص                      ج)المفارقة             د)تحليل النصوص</w:t>
            </w:r>
          </w:p>
          <w:p>
            <w:pPr>
              <w:pStyle w:val="style0"/>
              <w:ind w:right="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>41-</w:t>
            </w: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الشاعر الذي كان يحضر المجالس الأدبية في بلاط المؤسس عبدالله الأول ابن الحسين طيب الله ثراه، من الشعراء الآتية أسماؤهم ،هو:</w:t>
            </w:r>
          </w:p>
          <w:p>
            <w:pPr>
              <w:pStyle w:val="style0"/>
              <w:ind w:right="6"/>
              <w:rPr>
                <w:rFonts w:ascii="Sakkal Majalla" w:cs="Sakkal Majalla" w:eastAsia="Sakkal Majalla" w:hAnsi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cs="Sakkal Majalla" w:eastAsia="Sakkal Majalla" w:hAnsi="Sakkal Majalla" w:hint="cs"/>
                <w:b/>
                <w:bCs/>
                <w:sz w:val="28"/>
                <w:szCs w:val="28"/>
                <w:rtl/>
              </w:rPr>
              <w:t xml:space="preserve">              أ)حيدر محمود                       ب)محمود درويش                  ج)عبد المنعم الرفاعي                   د)ابراهيم طوقان   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42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- الكلمة المناسبة ليستقيم المعنى والوزن العروضي في البيت: 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      لمّا حَطَطْتُ الرَّحْلَ (........) وارِدا         علَفتُها تِبْنًا وماءً بارِدا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 xml:space="preserve">      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عنها</w:t>
            </w: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 xml:space="preserve">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الثّقيل</w:t>
            </w:r>
          </w:p>
        </w:tc>
        <w:tc>
          <w:tcPr>
            <w:tcW w:w="293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طُولَ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وَجئتُ</w:t>
            </w: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 xml:space="preserve"> 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6"/>
                <w:szCs w:val="26"/>
                <w:u w:val="single"/>
                <w:rtl/>
              </w:rPr>
              <w:t>43-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تفعيلات البيت الآتي: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عادتْ لنا الأعيادُ والمواسِمُ       وَصَحّتِ العَلْياءُ والمَكارِمُ</w:t>
            </w:r>
          </w:p>
        </w:tc>
      </w:tr>
      <w:tr>
        <w:tblPrEx/>
        <w:trPr>
          <w:trHeight w:val="20" w:hRule="atLeast"/>
        </w:trPr>
        <w:tc>
          <w:tcPr>
            <w:tcW w:w="11110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مُتَفْعِلُن / مُسْتَفْعِلُن/ مُتَفْعِلُن           مُتَفْعِلُن / مُسْتَفْعِلُن/ مُتَفْعِلُن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ب. مُسْتَــعِلُن / مُسْتَفْعِلُن/ مُتَعِلُن      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مُسْتَــعِلُن / مُسْتَفْعِلُن/ مُتَعِلُن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مُسْتَفْعِلُن / مُسْتَفْعِلُن/ مُسْتَفْعِلُن        مُسْتَفْعِلُن / مُسْتَفْعِلُن/ مُسْتَفْعِلُن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مُسْتَفْعِلُن / مُسْتَفْعِلُن/ مُتَفْعِلُن           مُتَفْعِلُن / مُسْتَفْعِلُن/ مُتَفْعِلُن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>44-يفصل صدر البيت عن عجزه في البيت الآتي( ماذا وُقوفي على ربْع عَفا مُخْلَوْلَقٍ دارسٍ مُسْتعْجمِ) كما في واحد مما يأتي: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 xml:space="preserve">    أ)ماذا وقوفي على ربع عفا    مخلولق دارس مستعجم           ب) ماذا وقوفي على ربْــــــ     عٍ عفا مخلولق دارس مستعجم 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 xml:space="preserve">   ج)ماذا وقوفي على ربع عــــ     فا مخلولق دارس مستعجم       د) ماذا وقوفي على ربع عفا مخْــ     ـــــلولق دارس مستعجم 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>45-البحر العروضي للبيت الآتي( أضحى التنائي بديلا من تدانينا      وناب عن طيب لقيانا تجافينا)   هو:</w:t>
            </w:r>
          </w:p>
          <w:p>
            <w:pPr>
              <w:pStyle w:val="style0"/>
              <w:spacing w:lineRule="auto" w:line="276"/>
              <w:ind w:left="675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 xml:space="preserve">أ)االبسيط التام        ب) مجزوء البسيط            </w:t>
            </w:r>
            <w:r>
              <w:rPr>
                <w:rFonts w:ascii="Simplified Arabic" w:cs="Simplified Arabic" w:hAnsi="Simplified Arabic" w:hint="cs"/>
                <w:vanish/>
                <w:sz w:val="26"/>
                <w:szCs w:val="26"/>
                <w:rtl/>
              </w:rPr>
              <w:t xml:space="preserve"> ابسيط المجزوء       ج)الرجز التام    د)مجزوء الرجز   لولق دارس مستعجما مخلولق دارس مستعجم </w:t>
            </w:r>
            <w:r>
              <w:rPr>
                <w:rFonts w:ascii="Simplified Arabic" w:cs="Simplified Arabic" w:hAnsi="Simplified Arabic" w:hint="cs"/>
                <w:vanish/>
                <w:sz w:val="26"/>
                <w:szCs w:val="26"/>
                <w:rtl/>
              </w:rPr>
              <w:cr/>
            </w:r>
            <w:r>
              <w:rPr>
                <w:rFonts w:ascii="Simplified Arabic" w:cs="Simplified Arabic" w:hAnsi="Simplified Arabic" w:hint="cs"/>
                <w:sz w:val="26"/>
                <w:szCs w:val="26"/>
                <w:rtl/>
              </w:rPr>
              <w:t xml:space="preserve"> ج)الرجز التام    د)مجزوء الرجز   </w:t>
            </w:r>
          </w:p>
        </w:tc>
      </w:tr>
    </w:tbl>
    <w:p>
      <w:pPr>
        <w:pStyle w:val="style0"/>
        <w:pBdr>
          <w:bottom w:val="dotted" w:sz="24" w:space="1" w:color="auto"/>
        </w:pBdr>
        <w:spacing w:after="200"/>
        <w:ind w:left="-475"/>
        <w:jc w:val="center"/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spacing w:after="200"/>
        <w:ind w:left="-475"/>
        <w:jc w:val="center"/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color w:val="000000"/>
          <w:sz w:val="28"/>
          <w:szCs w:val="28"/>
          <w:rtl/>
          <w:lang w:bidi="ar-JO"/>
        </w:rPr>
        <w:t xml:space="preserve">انتهت الأسئلة </w:t>
      </w:r>
    </w:p>
    <w:p>
      <w:pPr>
        <w:pStyle w:val="style0"/>
        <w:spacing w:after="200"/>
        <w:ind w:left="-475"/>
        <w:jc w:val="center"/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</w:pPr>
    </w:p>
    <w:sectPr>
      <w:footerReference w:type="even" r:id="rId3"/>
      <w:footerReference w:type="default" r:id="rId4"/>
      <w:type w:val="continuous"/>
      <w:pgSz w:w="11906" w:h="16838" w:orient="portrait"/>
      <w:pgMar w:top="900" w:right="1196" w:bottom="630" w:left="540" w:header="720" w:footer="264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002020203"/>
    <w:charset w:val="00"/>
    <w:family w:val="swiss"/>
    <w:pitch w:val="variable"/>
    <w:sig w:usb0="800001EF" w:usb1="1200FFEF" w:usb2="0064C000" w:usb3="00000000" w:csb0="0000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b2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Sakkal Majalla">
    <w:altName w:val="Sakkal Majalla"/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text" w:vAnchor="tex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  <w:noProof/>
        <w:rtl/>
      </w:rPr>
      <w:t>1</w:t>
    </w:r>
    <w:r>
      <w:rPr>
        <w:rStyle w:val="style41"/>
      </w:rPr>
      <w:fldChar w:fldCharType="end"/>
    </w:r>
  </w:p>
  <w:p>
    <w:pPr>
      <w:pStyle w:val="style32"/>
      <w:ind w:right="360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ind w:right="360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601CAB7E">
      <w:start w:val="1"/>
      <w:numFmt w:val="arabicAlpha"/>
      <w:lvlText w:val="%1)"/>
      <w:lvlJc w:val="left"/>
      <w:pPr>
        <w:ind w:left="42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0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2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6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83" w:hanging="180"/>
      </w:pPr>
      <w:rPr>
        <w:rFonts w:cs="Times New Roman"/>
      </w:rPr>
    </w:lvl>
  </w:abstractNum>
  <w:abstractNum w:abstractNumId="1">
    <w:nsid w:val="00000001"/>
    <w:multiLevelType w:val="hybridMultilevel"/>
    <w:tmpl w:val="FFFFFFFF"/>
    <w:lvl w:ilvl="0" w:tplc="87A0A104">
      <w:start w:val="1"/>
      <w:numFmt w:val="bullet"/>
      <w:lvlText w:val="●"/>
      <w:lvlJc w:val="left"/>
      <w:pPr>
        <w:ind w:left="241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1" w:tplc="C8FE7072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2" w:tplc="4ACCC5B2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3" w:tplc="DADE28CC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false"/>
        <w:i w:val="false"/>
        <w:color w:val="b3312a"/>
        <w:sz w:val="28"/>
        <w:u w:val="none" w:color="000000"/>
        <w:vertAlign w:val="superscript"/>
      </w:rPr>
    </w:lvl>
    <w:lvl w:ilvl="4" w:tplc="6BFE5FAA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5" w:tplc="65AA82E8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6" w:tplc="A3907C18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false"/>
        <w:i w:val="false"/>
        <w:color w:val="b3312a"/>
        <w:sz w:val="28"/>
        <w:u w:val="none" w:color="000000"/>
        <w:vertAlign w:val="superscript"/>
      </w:rPr>
    </w:lvl>
    <w:lvl w:ilvl="7" w:tplc="1194A054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8" w:tplc="3A6490A6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</w:abstractNum>
  <w:abstractNum w:abstractNumId="2">
    <w:nsid w:val="00000002"/>
    <w:multiLevelType w:val="hybridMultilevel"/>
    <w:tmpl w:val="FFFFFFFF"/>
    <w:lvl w:ilvl="0" w:tplc="8780B9DA">
      <w:start w:val="1"/>
      <w:numFmt w:val="decimal"/>
      <w:lvlText w:val="%1-"/>
      <w:lvlJc w:val="left"/>
      <w:pPr>
        <w:ind w:left="-117" w:hanging="360"/>
      </w:pPr>
      <w:rPr>
        <w:rFonts w:cs="Times New Roman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3">
    <w:nsid w:val="00000003"/>
    <w:multiLevelType w:val="hybridMultilevel"/>
    <w:tmpl w:val="E4B0D730"/>
    <w:lvl w:ilvl="0" w:tplc="EE6067C2">
      <w:start w:val="1"/>
      <w:numFmt w:val="arabicAlpha"/>
      <w:lvlText w:val="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00000004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FFFFFFF"/>
    <w:lvl w:ilvl="0" w:tplc="A7C020AA">
      <w:start w:val="1"/>
      <w:numFmt w:val="arabicAlpha"/>
      <w:lvlText w:val="%1)"/>
      <w:lvlJc w:val="left"/>
      <w:pPr>
        <w:ind w:left="-117" w:hanging="360"/>
      </w:pPr>
      <w:rPr>
        <w:rFonts w:cs="Times New Roman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6">
    <w:nsid w:val="00000006"/>
    <w:multiLevelType w:val="hybridMultilevel"/>
    <w:tmpl w:val="FFFFFFFF"/>
    <w:lvl w:ilvl="0" w:tplc="74F8B470">
      <w:start w:val="1"/>
      <w:numFmt w:val="arabicAlpha"/>
      <w:lvlText w:val="%1)"/>
      <w:lvlJc w:val="left"/>
      <w:pPr>
        <w:ind w:left="-1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7">
    <w:nsid w:val="00000007"/>
    <w:multiLevelType w:val="hybridMultilevel"/>
    <w:tmpl w:val="0A2C989A"/>
    <w:lvl w:ilvl="0" w:tplc="5A5E5408">
      <w:start w:val="1"/>
      <w:numFmt w:val="arabicAlpha"/>
      <w:lvlText w:val="%1)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8">
    <w:nsid w:val="00000008"/>
    <w:multiLevelType w:val="hybridMultilevel"/>
    <w:tmpl w:val="FFFFFFFF"/>
    <w:lvl w:ilvl="0" w:tplc="DDBAE29E">
      <w:start w:val="1"/>
      <w:numFmt w:val="arabicAlpha"/>
      <w:lvlText w:val="%1)"/>
      <w:lvlJc w:val="left"/>
      <w:pPr>
        <w:ind w:left="153" w:hanging="360"/>
      </w:pPr>
      <w:rPr>
        <w:rFonts w:cs="Times New Roman" w:hint="default"/>
        <w:b w:val="false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9">
    <w:nsid w:val="00000009"/>
    <w:multiLevelType w:val="hybridMultilevel"/>
    <w:tmpl w:val="FFFFFFFF"/>
    <w:lvl w:ilvl="0" w:tplc="F1F29A1E">
      <w:start w:val="1"/>
      <w:numFmt w:val="decimal"/>
      <w:lvlText w:val="%1-"/>
      <w:lvlJc w:val="left"/>
      <w:pPr>
        <w:ind w:left="-1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10">
    <w:nsid w:val="0000000A"/>
    <w:multiLevelType w:val="hybridMultilevel"/>
    <w:tmpl w:val="FFFFFFFF"/>
    <w:lvl w:ilvl="0" w:tplc="B4A249FA">
      <w:start w:val="1"/>
      <w:numFmt w:val="arabicAlpha"/>
      <w:lvlText w:val="%1)"/>
      <w:lvlJc w:val="left"/>
      <w:pPr>
        <w:ind w:left="-117" w:hanging="360"/>
      </w:pPr>
      <w:rPr>
        <w:rFonts w:cs="Times New Roman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11">
    <w:nsid w:val="0000000B"/>
    <w:multiLevelType w:val="hybridMultilevel"/>
    <w:tmpl w:val="FFFFFFFF"/>
    <w:lvl w:ilvl="0" w:tplc="181C473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FFFFFFFF"/>
    <w:lvl w:ilvl="0" w:tplc="1D18690E">
      <w:start w:val="1"/>
      <w:numFmt w:val="arabicAlpha"/>
      <w:lvlText w:val="%1)"/>
      <w:lvlJc w:val="left"/>
      <w:pPr>
        <w:ind w:left="-117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13">
    <w:nsid w:val="0000000D"/>
    <w:multiLevelType w:val="hybridMultilevel"/>
    <w:tmpl w:val="2D6275AC"/>
    <w:lvl w:ilvl="0" w:tplc="FD02E328">
      <w:start w:val="1"/>
      <w:numFmt w:val="arabicAlpha"/>
      <w:lvlText w:val="%1)"/>
      <w:lvlJc w:val="left"/>
      <w:pPr>
        <w:ind w:left="7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5" w:hanging="360"/>
      </w:pPr>
    </w:lvl>
    <w:lvl w:ilvl="2" w:tplc="0409001B" w:tentative="1">
      <w:start w:val="1"/>
      <w:numFmt w:val="lowerRoman"/>
      <w:lvlText w:val="%3."/>
      <w:lvlJc w:val="right"/>
      <w:pPr>
        <w:ind w:left="2155" w:hanging="180"/>
      </w:pPr>
    </w:lvl>
    <w:lvl w:ilvl="3" w:tplc="0409000F" w:tentative="1">
      <w:start w:val="1"/>
      <w:numFmt w:val="decimal"/>
      <w:lvlText w:val="%4."/>
      <w:lvlJc w:val="left"/>
      <w:pPr>
        <w:ind w:left="2875" w:hanging="360"/>
      </w:pPr>
    </w:lvl>
    <w:lvl w:ilvl="4" w:tplc="04090019" w:tentative="1">
      <w:start w:val="1"/>
      <w:numFmt w:val="lowerLetter"/>
      <w:lvlText w:val="%5."/>
      <w:lvlJc w:val="left"/>
      <w:pPr>
        <w:ind w:left="3595" w:hanging="360"/>
      </w:pPr>
    </w:lvl>
    <w:lvl w:ilvl="5" w:tplc="0409001B" w:tentative="1">
      <w:start w:val="1"/>
      <w:numFmt w:val="lowerRoman"/>
      <w:lvlText w:val="%6."/>
      <w:lvlJc w:val="right"/>
      <w:pPr>
        <w:ind w:left="4315" w:hanging="180"/>
      </w:pPr>
    </w:lvl>
    <w:lvl w:ilvl="6" w:tplc="0409000F" w:tentative="1">
      <w:start w:val="1"/>
      <w:numFmt w:val="decimal"/>
      <w:lvlText w:val="%7."/>
      <w:lvlJc w:val="left"/>
      <w:pPr>
        <w:ind w:left="5035" w:hanging="360"/>
      </w:pPr>
    </w:lvl>
    <w:lvl w:ilvl="7" w:tplc="04090019" w:tentative="1">
      <w:start w:val="1"/>
      <w:numFmt w:val="lowerLetter"/>
      <w:lvlText w:val="%8."/>
      <w:lvlJc w:val="left"/>
      <w:pPr>
        <w:ind w:left="5755" w:hanging="360"/>
      </w:pPr>
    </w:lvl>
    <w:lvl w:ilvl="8" w:tplc="040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4">
    <w:nsid w:val="0000000E"/>
    <w:multiLevelType w:val="hybridMultilevel"/>
    <w:tmpl w:val="7F7C2F12"/>
    <w:lvl w:ilvl="0" w:tplc="D5584DA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FFFFFFFF"/>
    <w:lvl w:ilvl="0" w:tplc="A094F8B4">
      <w:start w:val="1"/>
      <w:numFmt w:val="decimal"/>
      <w:lvlText w:val="%1-"/>
      <w:lvlJc w:val="left"/>
      <w:pPr>
        <w:ind w:left="-117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16">
    <w:nsid w:val="00000010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1"/>
  </w:num>
  <w:num w:numId="7">
    <w:abstractNumId w:val="10"/>
  </w:num>
  <w:num w:numId="8">
    <w:abstractNumId w:val="6"/>
  </w:num>
  <w:num w:numId="9">
    <w:abstractNumId w:val="5"/>
  </w:num>
  <w:num w:numId="10">
    <w:abstractNumId w:val="15"/>
  </w:num>
  <w:num w:numId="11">
    <w:abstractNumId w:val="12"/>
  </w:num>
  <w:num w:numId="12">
    <w:abstractNumId w:val="16"/>
  </w:num>
  <w:num w:numId="13">
    <w:abstractNumId w:val="1"/>
  </w:num>
  <w:num w:numId="14">
    <w:abstractNumId w:val="7"/>
  </w:num>
  <w:num w:numId="15">
    <w:abstractNumId w:val="13"/>
  </w:num>
  <w:num w:numId="16">
    <w:abstractNumId w:val="14"/>
  </w:num>
  <w:num w:numId="17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paragraph" w:styleId="style2">
    <w:name w:val="heading 2"/>
    <w:basedOn w:val="style0"/>
    <w:next w:val="style0"/>
    <w:link w:val="style4097"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8"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عنوان 2 Char"/>
    <w:basedOn w:val="style65"/>
    <w:next w:val="style4097"/>
    <w:link w:val="style2"/>
    <w:uiPriority w:val="9"/>
    <w:rPr>
      <w:rFonts w:ascii="Cambria" w:cs="Times New Roman" w:hAnsi="Cambria"/>
      <w:b/>
      <w:i/>
      <w:sz w:val="28"/>
    </w:rPr>
  </w:style>
  <w:style w:type="character" w:customStyle="1" w:styleId="style4098">
    <w:name w:val="عنوان 3 Char"/>
    <w:basedOn w:val="style65"/>
    <w:next w:val="style4098"/>
    <w:link w:val="style3"/>
    <w:uiPriority w:val="9"/>
    <w:rPr>
      <w:rFonts w:ascii="Cambria" w:cs="Times New Roman" w:eastAsia="Times New Roman" w:hAnsi="Cambria"/>
      <w:b/>
      <w:bCs/>
      <w:sz w:val="26"/>
      <w:szCs w:val="26"/>
    </w:rPr>
  </w:style>
  <w:style w:type="table" w:styleId="style154">
    <w:name w:val="Table Grid"/>
    <w:basedOn w:val="style105"/>
    <w:next w:val="style154"/>
    <w:uiPriority w:val="59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  <w:rPr>
      <w:rFonts w:cs="Times New Roman"/>
      <w:sz w:val="24"/>
    </w:rPr>
  </w:style>
  <w:style w:type="paragraph" w:styleId="style153">
    <w:name w:val="Balloon Text"/>
    <w:basedOn w:val="style0"/>
    <w:next w:val="style153"/>
    <w:link w:val="style4100"/>
    <w:uiPriority w:val="99"/>
    <w:pPr/>
    <w:rPr>
      <w:rFonts w:ascii="Tahoma" w:hAnsi="Tahoma"/>
      <w:sz w:val="16"/>
      <w:szCs w:val="16"/>
    </w:rPr>
  </w:style>
  <w:style w:type="character" w:customStyle="1" w:styleId="style4100">
    <w:name w:val="نص في بالون Char"/>
    <w:basedOn w:val="style65"/>
    <w:next w:val="style4100"/>
    <w:link w:val="style153"/>
    <w:uiPriority w:val="99"/>
    <w:rPr>
      <w:rFonts w:ascii="Tahoma" w:cs="Times New Roman" w:hAnsi="Tahoma"/>
      <w:sz w:val="16"/>
    </w:rPr>
  </w:style>
  <w:style w:type="character" w:styleId="style41">
    <w:name w:val="page number"/>
    <w:basedOn w:val="style65"/>
    <w:next w:val="style41"/>
    <w:uiPriority w:val="99"/>
    <w:rPr>
      <w:rFonts w:cs="Times New Roman"/>
    </w:rPr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160" w:lineRule="auto" w:line="256"/>
      <w:ind w:left="720"/>
      <w:contextualSpacing/>
    </w:pPr>
    <w:rPr>
      <w:rFonts w:ascii="Calibri" w:cs="Arial" w:hAnsi="Calibri"/>
      <w:sz w:val="22"/>
      <w:szCs w:val="22"/>
    </w:rPr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101">
    <w:name w:val="رأس الصفحة Char"/>
    <w:basedOn w:val="style65"/>
    <w:next w:val="style4101"/>
    <w:link w:val="style31"/>
    <w:uiPriority w:val="99"/>
    <w:rPr>
      <w:rFonts w:cs="Times New Roman"/>
      <w:sz w:val="24"/>
    </w:rPr>
  </w:style>
  <w:style w:type="table" w:customStyle="1" w:styleId="style4102">
    <w:name w:val="جدول شبكة 5 داكن - تمييز 51"/>
    <w:basedOn w:val="style105"/>
    <w:next w:val="style4102"/>
    <w:uiPriority w:val="50"/>
    <w:pPr/>
    <w:rPr>
      <w:rFonts w:ascii="Calibri" w:cs="Arial" w:hAnsi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</w:tblPr>
    <w:tblStylePr w:type="firstRow">
      <w:pPr/>
      <w:rPr>
        <w:rFonts w:cs="Arial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pPr/>
      <w:rPr>
        <w:rFonts w:cs="Arial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band1Horz">
      <w:pPr/>
      <w:rPr>
        <w:rFonts w:cs="Arial"/>
      </w:rPr>
      <w:tblPr/>
      <w:tcPr>
        <w:tcBorders/>
        <w:shd w:val="clear" w:color="auto" w:fill="b6dde8"/>
      </w:tcPr>
    </w:tblStylePr>
    <w:tblStylePr w:type="firstCol">
      <w:pPr/>
      <w:rPr>
        <w:rFonts w:cs="Arial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pPr/>
      <w:rPr>
        <w:rFonts w:cs="Arial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pPr/>
      <w:rPr>
        <w:rFonts w:cs="Arial"/>
      </w:rPr>
      <w:tblPr/>
      <w:tcPr>
        <w:tcBorders/>
        <w:shd w:val="clear" w:color="auto" w:fill="b6dde8"/>
      </w:tcPr>
    </w:tblStylePr>
    <w:tcPr>
      <w:tcBorders/>
      <w:shd w:val="clear" w:color="auto" w:fill="daeef3"/>
    </w:tcPr>
  </w:style>
  <w:style w:type="character" w:styleId="style88">
    <w:name w:val="Emphasis"/>
    <w:basedOn w:val="style65"/>
    <w:next w:val="style88"/>
    <w:qFormat/>
    <w:uiPriority w:val="20"/>
    <w:rPr>
      <w:rFonts w:cs="Times New Roman"/>
      <w:i/>
    </w:rPr>
  </w:style>
  <w:style w:type="table" w:styleId="style219">
    <w:name w:val="Light List Accent 4"/>
    <w:basedOn w:val="style105"/>
    <w:next w:val="style219"/>
    <w:uiPriority w:val="61"/>
    <w:pPr/>
    <w:rPr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/>
    <w:rPr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cs="Times New Roman" w:eastAsia="Times New Roman" w:hAnsi="Cambria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cs="Times New Roman" w:eastAsia="Times New Roman" w:hAnsi="Cambria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mbria" w:cs="Times New Roman" w:eastAsia="Times New Roman" w:hAnsi="Cambria"/>
        <w:b/>
        <w:bCs/>
      </w:rPr>
      <w:tcPr>
        <w:tcBorders/>
      </w:tcPr>
    </w:tblStylePr>
    <w:tblStylePr w:type="lastCol">
      <w:pPr/>
      <w:rPr>
        <w:rFonts w:ascii="Cambria" w:cs="Times New Roman" w:eastAsia="Times New Roman" w:hAnsi="Cambria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customStyle="1" w:styleId="style4103">
    <w:name w:val="Table Grid1"/>
    <w:basedOn w:val="style105"/>
    <w:next w:val="style154"/>
    <w:uiPriority w:val="59"/>
    <w:pPr/>
    <w:rPr>
      <w:rFonts w:ascii="Calibri" w:cs="Arial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styleId="style85">
    <w:name w:val="Hyperlink"/>
    <w:basedOn w:val="style65"/>
    <w:next w:val="style85"/>
    <w:uiPriority w:val="99"/>
    <w:rPr>
      <w:rFonts w:cs="Times New Roman"/>
      <w:color w:val="0000ff"/>
      <w:u w:val="single"/>
    </w:rPr>
  </w:style>
  <w:style w:type="table" w:styleId="style133">
    <w:name w:val="Table Grid 8"/>
    <w:basedOn w:val="style105"/>
    <w:next w:val="style133"/>
    <w:uiPriority w:val="99"/>
    <w:pPr>
      <w:bidi/>
    </w:pPr>
    <w:rPr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pPr/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pPr/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pPr/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cPr>
      <w:tcBorders/>
    </w:tcPr>
  </w:style>
  <w:style w:type="table" w:styleId="style183">
    <w:name w:val="Medium Grid 1 Accent 1"/>
    <w:basedOn w:val="style105"/>
    <w:next w:val="style183"/>
    <w:uiPriority w:val="67"/>
    <w:pPr/>
    <w:rPr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blStylePr w:type="firstRow">
      <w:pPr/>
      <w:rPr>
        <w:rFonts w:cs="Times New Roman"/>
        <w:b/>
        <w:bCs/>
      </w:rPr>
      <w:tcPr>
        <w:tcBorders/>
      </w:tcPr>
    </w:tblStylePr>
    <w:tblStylePr w:type="lastRow">
      <w:pPr/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rPr>
        <w:rFonts w:cs="Times New Roman"/>
      </w:rPr>
      <w:tblPr/>
      <w:tcPr>
        <w:tcBorders/>
        <w:shd w:val="clear" w:color="auto" w:fill="a7bfde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207">
    <w:name w:val="Medium Shading 1 Accent 3"/>
    <w:basedOn w:val="style105"/>
    <w:next w:val="style207"/>
    <w:uiPriority w:val="63"/>
    <w:pPr/>
    <w:rPr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rPr>
        <w:rFonts w:cs="Times New Roman"/>
      </w:rPr>
      <w:tblPr/>
      <w:tcPr>
        <w:tcBorders>
          <w:insideH w:val="nil"/>
          <w:insideV w:val="nil"/>
        </w:tcBorders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/>
        <w:shd w:val="clear" w:color="auto" w:fill="e6eed5"/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/>
    <w:rPr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/>
    <w:rPr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cs="Times New Roman" w:eastAsia="Times New Roman" w:hAnsi="Cambr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cs="Times New Roman" w:eastAsia="Times New Roman" w:hAnsi="Cambria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mbria" w:cs="Times New Roman" w:eastAsia="Times New Roman" w:hAnsi="Cambria"/>
        <w:b/>
        <w:bCs/>
      </w:rPr>
      <w:tcPr>
        <w:tcBorders/>
      </w:tcPr>
    </w:tblStylePr>
    <w:tblStylePr w:type="lastCol">
      <w:pPr/>
      <w:rPr>
        <w:rFonts w:ascii="Cambria" w:cs="Times New Roman" w:eastAsia="Times New Roman" w:hAnsi="Cambr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customStyle="1" w:styleId="style4104">
    <w:name w:val="جدول شبكة 4 - تمييز 61"/>
    <w:basedOn w:val="style105"/>
    <w:next w:val="style4104"/>
    <w:uiPriority w:val="49"/>
    <w:pPr/>
    <w:rPr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pPr/>
      <w:rPr>
        <w:rFonts w:cs="Times New Roman"/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pPr/>
      <w:rPr>
        <w:rFonts w:cs="Times New Roman"/>
        <w:b/>
        <w:bCs/>
      </w:rPr>
      <w:tblPr/>
      <w:tcPr>
        <w:tcBorders>
          <w:top w:val="double" w:sz="4" w:space="0" w:color="f79646"/>
        </w:tcBorders>
      </w:tcPr>
    </w:tblStylePr>
    <w:tblStylePr w:type="band1Horz">
      <w:pPr/>
      <w:rPr>
        <w:rFonts w:cs="Times New Roman"/>
      </w:rPr>
      <w:tblPr/>
      <w:tcPr>
        <w:tcBorders/>
        <w:shd w:val="clear" w:color="auto" w:fill="fde9d9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/>
        <w:shd w:val="clear" w:color="auto" w:fill="fde9d9"/>
      </w:tcPr>
    </w:tblStylePr>
    <w:tcPr>
      <w:tcBorders/>
    </w:tcPr>
  </w:style>
  <w:style w:type="table" w:customStyle="1" w:styleId="style4105">
    <w:name w:val="جدول شبكة 4 - تمييز 51"/>
    <w:basedOn w:val="style105"/>
    <w:next w:val="style4105"/>
    <w:uiPriority w:val="49"/>
    <w:pPr/>
    <w:rPr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pPr/>
      <w:rPr>
        <w:rFonts w:cs="Times New Roman"/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rFonts w:cs="Times New Roman"/>
        <w:b/>
        <w:bCs/>
      </w:rPr>
      <w:tblPr/>
      <w:tcPr>
        <w:tcBorders>
          <w:top w:val="double" w:sz="4" w:space="0" w:color="4bacc6"/>
        </w:tcBorders>
      </w:tcPr>
    </w:tblStylePr>
    <w:tblStylePr w:type="band1Horz">
      <w:pPr/>
      <w:rPr>
        <w:rFonts w:cs="Times New Roman"/>
      </w:rPr>
      <w:tblPr/>
      <w:tcPr>
        <w:tcBorders/>
        <w:shd w:val="clear" w:color="auto" w:fill="daeef3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/>
        <w:shd w:val="clear" w:color="auto" w:fill="daeef3"/>
      </w:tcPr>
    </w:tblStylePr>
    <w:tcPr>
      <w:tcBorders/>
    </w:tcPr>
  </w:style>
  <w:style w:type="paragraph" w:styleId="style29">
    <w:name w:val="footnote text"/>
    <w:basedOn w:val="style0"/>
    <w:next w:val="style29"/>
    <w:link w:val="style4106"/>
    <w:uiPriority w:val="99"/>
    <w:pPr>
      <w:bidi w:val="false"/>
    </w:pPr>
    <w:rPr>
      <w:rFonts w:ascii="Calibri" w:cs="Arial" w:hAnsi="Calibri"/>
      <w:sz w:val="20"/>
      <w:szCs w:val="20"/>
    </w:rPr>
  </w:style>
  <w:style w:type="character" w:customStyle="1" w:styleId="style4106">
    <w:name w:val="نص حاشية سفلية Char"/>
    <w:basedOn w:val="style65"/>
    <w:next w:val="style4106"/>
    <w:link w:val="style29"/>
    <w:uiPriority w:val="99"/>
    <w:rPr>
      <w:rFonts w:ascii="Calibri" w:cs="Times New Roman" w:hAnsi="Calibri"/>
    </w:rPr>
  </w:style>
  <w:style w:type="character" w:styleId="style38">
    <w:name w:val="footnote reference"/>
    <w:basedOn w:val="style65"/>
    <w:next w:val="style38"/>
    <w:uiPriority w:val="99"/>
    <w:rPr>
      <w:rFonts w:cs="Times New Roman"/>
      <w:vertAlign w:val="superscript"/>
    </w:rPr>
  </w:style>
  <w:style w:type="character" w:customStyle="1" w:styleId="style4107">
    <w:name w:val="إشارة لم يتم حلها1"/>
    <w:basedOn w:val="style65"/>
    <w:next w:val="style4107"/>
    <w:uiPriority w:val="99"/>
    <w:rPr>
      <w:rFonts w:cs="Times New Roman"/>
      <w:color w:val="605e5c"/>
      <w:shd w:val="clear" w:color="auto" w:fill="e1dfdd"/>
    </w:rPr>
  </w:style>
  <w:style w:type="table" w:customStyle="1" w:styleId="style4108">
    <w:name w:val="جدول شبكة 4 - تمييز 31"/>
    <w:basedOn w:val="style105"/>
    <w:next w:val="style4108"/>
    <w:uiPriority w:val="49"/>
    <w:pPr/>
    <w:rPr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pPr/>
      <w:rPr>
        <w:rFonts w:cs="Times New Roman"/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pPr/>
      <w:rPr>
        <w:rFonts w:cs="Times New Roman"/>
        <w:b/>
        <w:bCs/>
      </w:rPr>
      <w:tblPr/>
      <w:tcPr>
        <w:tcBorders>
          <w:top w:val="double" w:sz="4" w:space="0" w:color="9bbb59"/>
        </w:tcBorders>
      </w:tcPr>
    </w:tblStylePr>
    <w:tblStylePr w:type="band1Horz">
      <w:pPr/>
      <w:rPr>
        <w:rFonts w:cs="Times New Roman"/>
      </w:rPr>
      <w:tblPr/>
      <w:tcPr>
        <w:tcBorders/>
        <w:shd w:val="clear" w:color="auto" w:fill="eaf1dd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/>
        <w:shd w:val="clear" w:color="auto" w:fill="eaf1dd"/>
      </w:tcPr>
    </w:tblStyle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883A-1C8F-426F-82BA-A5420DB0F8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1300</Words>
  <Pages>1</Pages>
  <Characters>7016</Characters>
  <Application>WPS Office</Application>
  <DocSecurity>0</DocSecurity>
  <Paragraphs>284</Paragraphs>
  <ScaleCrop>false</ScaleCrop>
  <Company>Toshiba</Company>
  <LinksUpToDate>false</LinksUpToDate>
  <CharactersWithSpaces>9396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٢٠٢٦-٠٤-١١T٠٧:١٣:٠٠Z</dcterms:created>
  <dc:creator>dell</dc:creator>
  <lastModifiedBy>SM-S928B</lastModifiedBy>
  <lastPrinted>٢٠٢٦-٠٢-١٧T١٣:٤٢:٠٠Z</lastPrinted>
  <dcterms:modified xsi:type="dcterms:W3CDTF">٢٠٢٦-٠٤-١١T١٨:٠٦:٤٩Z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9ba1c316ea494031960d156017ac6e44</vt:lpwstr>
  </property>
</Properties>
</file>